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68" w14:textId="77777777" w:rsidR="00F82562" w:rsidRPr="004954FC" w:rsidRDefault="007A1386" w:rsidP="00127A61">
      <w:pPr>
        <w:spacing w:before="120" w:after="20"/>
        <w:rPr>
          <w:rFonts w:ascii="Arial" w:hAnsi="Arial" w:cs="Arial"/>
          <w:b/>
          <w:color w:val="000000" w:themeColor="text1"/>
          <w:szCs w:val="22"/>
        </w:rPr>
      </w:pPr>
      <w:r w:rsidRPr="004954FC">
        <w:rPr>
          <w:rFonts w:ascii="Arial" w:hAnsi="Arial" w:cs="Arial"/>
          <w:noProof/>
          <w:color w:val="000000" w:themeColor="text1"/>
          <w:szCs w:val="22"/>
          <w:lang w:val="en-US"/>
        </w:rPr>
        <w:drawing>
          <wp:inline distT="0" distB="0" distL="0" distR="0" wp14:anchorId="7DCE10BD" wp14:editId="6565166C">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sidRPr="004954FC">
        <w:rPr>
          <w:rFonts w:ascii="Arial" w:hAnsi="Arial" w:cs="Arial"/>
          <w:noProof/>
          <w:color w:val="000000" w:themeColor="text1"/>
          <w:szCs w:val="22"/>
          <w:lang w:val="en-US"/>
        </w:rPr>
        <w:t xml:space="preserve">                                        </w:t>
      </w:r>
      <w:r w:rsidRPr="004954FC">
        <w:rPr>
          <w:rFonts w:ascii="Arial" w:hAnsi="Arial" w:cs="Arial"/>
          <w:noProof/>
          <w:color w:val="000000" w:themeColor="text1"/>
          <w:szCs w:val="22"/>
          <w:lang w:val="en-US"/>
        </w:rPr>
        <w:t xml:space="preserve">                               </w:t>
      </w:r>
      <w:r w:rsidR="00127A61" w:rsidRPr="004954FC">
        <w:rPr>
          <w:rFonts w:ascii="Arial" w:hAnsi="Arial" w:cs="Arial"/>
          <w:noProof/>
          <w:color w:val="000000" w:themeColor="text1"/>
          <w:szCs w:val="22"/>
          <w:lang w:val="en-US"/>
        </w:rPr>
        <w:t xml:space="preserve">                     </w:t>
      </w:r>
      <w:r w:rsidR="00E722A6" w:rsidRPr="004954FC">
        <w:rPr>
          <w:rFonts w:ascii="Arial" w:hAnsi="Arial" w:cs="Arial"/>
          <w:noProof/>
          <w:color w:val="000000" w:themeColor="text1"/>
          <w:szCs w:val="22"/>
          <w:lang w:val="en-US"/>
        </w:rPr>
        <w:drawing>
          <wp:inline distT="0" distB="0" distL="0" distR="0" wp14:anchorId="721A1F7F" wp14:editId="6F374B69">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14:paraId="0C15A868" w14:textId="77777777" w:rsidR="000D4A0E" w:rsidRPr="004954FC" w:rsidRDefault="000D4A0E" w:rsidP="00847156">
      <w:pPr>
        <w:tabs>
          <w:tab w:val="left" w:pos="1418"/>
          <w:tab w:val="left" w:pos="1701"/>
          <w:tab w:val="right" w:pos="9185"/>
          <w:tab w:val="right" w:pos="9214"/>
        </w:tabs>
        <w:jc w:val="center"/>
        <w:rPr>
          <w:rFonts w:ascii="Arial" w:hAnsi="Arial" w:cs="Arial"/>
          <w:b/>
          <w:bCs/>
          <w:color w:val="000000" w:themeColor="text1"/>
          <w:szCs w:val="22"/>
        </w:rPr>
      </w:pPr>
    </w:p>
    <w:p w14:paraId="35EA462B" w14:textId="5F07C6C7" w:rsidR="00E92EED" w:rsidRPr="00464D77" w:rsidRDefault="00464D77" w:rsidP="00E92EED">
      <w:pPr>
        <w:spacing w:before="29"/>
        <w:ind w:right="55"/>
        <w:jc w:val="center"/>
        <w:rPr>
          <w:rFonts w:ascii="Cambria" w:hAnsi="Cambria" w:cs="Arial-BoldMT"/>
          <w:b/>
          <w:bCs/>
          <w:color w:val="auto"/>
          <w:szCs w:val="22"/>
          <w:lang w:eastAsia="x-none"/>
        </w:rPr>
      </w:pPr>
      <w:r>
        <w:rPr>
          <w:rFonts w:ascii="Cambria" w:hAnsi="Cambria" w:cs="Arial-BoldMT"/>
          <w:b/>
          <w:bCs/>
          <w:color w:val="auto"/>
          <w:szCs w:val="22"/>
          <w:lang w:eastAsia="x-none"/>
        </w:rPr>
        <w:t xml:space="preserve">GLOBAL </w:t>
      </w:r>
      <w:r w:rsidRPr="009813FD">
        <w:rPr>
          <w:rFonts w:ascii="Cambria" w:hAnsi="Cambria" w:cs="Arial-BoldMT"/>
          <w:b/>
          <w:bCs/>
          <w:color w:val="auto"/>
          <w:szCs w:val="22"/>
          <w:lang w:eastAsia="x-none"/>
        </w:rPr>
        <w:t xml:space="preserve">EXPRESSION OF INTEREST (EoI) </w:t>
      </w:r>
      <w:r w:rsidRPr="005C02EB">
        <w:rPr>
          <w:rFonts w:ascii="Cambria" w:hAnsi="Cambria" w:cs="Arial-BoldMT"/>
          <w:b/>
          <w:bCs/>
          <w:color w:val="auto"/>
          <w:szCs w:val="22"/>
        </w:rPr>
        <w:t>UNDER INTERNATIONAL COMPET</w:t>
      </w:r>
      <w:r>
        <w:rPr>
          <w:rFonts w:ascii="Cambria" w:hAnsi="Cambria" w:cs="Arial-BoldMT"/>
          <w:b/>
          <w:bCs/>
          <w:color w:val="auto"/>
          <w:szCs w:val="22"/>
        </w:rPr>
        <w:t>E</w:t>
      </w:r>
      <w:r w:rsidRPr="005C02EB">
        <w:rPr>
          <w:rFonts w:ascii="Cambria" w:hAnsi="Cambria" w:cs="Arial-BoldMT"/>
          <w:b/>
          <w:bCs/>
          <w:color w:val="auto"/>
          <w:szCs w:val="22"/>
        </w:rPr>
        <w:t xml:space="preserve">TIVE BIDDING (ICB) BASIS </w:t>
      </w:r>
      <w:r w:rsidR="00E92EED" w:rsidRPr="00464D77">
        <w:rPr>
          <w:rFonts w:ascii="Cambria" w:hAnsi="Cambria" w:cs="Arial-BoldMT"/>
          <w:b/>
          <w:bCs/>
          <w:color w:val="auto"/>
          <w:szCs w:val="22"/>
          <w:lang w:eastAsia="x-none"/>
        </w:rPr>
        <w:t xml:space="preserve">FOR </w:t>
      </w:r>
      <w:r w:rsidR="00DD5F17" w:rsidRPr="00464D77">
        <w:rPr>
          <w:rFonts w:ascii="Cambria" w:hAnsi="Cambria" w:cs="Arial"/>
          <w:b/>
          <w:color w:val="000000" w:themeColor="text1"/>
          <w:szCs w:val="22"/>
        </w:rPr>
        <w:t xml:space="preserve">PROVISION OF INTEGRATED </w:t>
      </w:r>
      <w:r w:rsidR="00DD5F17" w:rsidRPr="00464D77">
        <w:rPr>
          <w:rFonts w:ascii="Cambria" w:hAnsi="Cambria" w:cs="Arial"/>
          <w:b/>
          <w:bCs/>
          <w:color w:val="000000"/>
          <w:szCs w:val="22"/>
        </w:rPr>
        <w:t xml:space="preserve">WELL AND RESERVOIR MANAGEMENT SERVICES </w:t>
      </w:r>
      <w:r w:rsidR="007E654D" w:rsidRPr="00464D77">
        <w:rPr>
          <w:rFonts w:ascii="Cambria" w:hAnsi="Cambria" w:cs="Arial-BoldMT"/>
          <w:b/>
          <w:bCs/>
          <w:color w:val="auto"/>
          <w:szCs w:val="22"/>
          <w:lang w:eastAsia="x-none"/>
        </w:rPr>
        <w:t>FOR</w:t>
      </w:r>
      <w:r w:rsidR="00DD1895" w:rsidRPr="00464D77">
        <w:rPr>
          <w:rFonts w:ascii="Cambria" w:hAnsi="Cambria" w:cs="Arial-BoldMT"/>
          <w:b/>
          <w:bCs/>
          <w:color w:val="auto"/>
          <w:szCs w:val="22"/>
          <w:lang w:eastAsia="x-none"/>
        </w:rPr>
        <w:t xml:space="preserve"> </w:t>
      </w:r>
      <w:r w:rsidR="000C6F92" w:rsidRPr="00464D77">
        <w:rPr>
          <w:rFonts w:ascii="Cambria" w:hAnsi="Cambria" w:cs="Arial-BoldMT"/>
          <w:b/>
          <w:bCs/>
          <w:color w:val="auto"/>
          <w:szCs w:val="22"/>
          <w:lang w:eastAsia="x-none"/>
        </w:rPr>
        <w:t xml:space="preserve">OFFSHORE </w:t>
      </w:r>
      <w:r w:rsidR="004954FC" w:rsidRPr="00464D77">
        <w:rPr>
          <w:rFonts w:ascii="Cambria" w:hAnsi="Cambria" w:cs="Arial-BoldMT"/>
          <w:b/>
          <w:bCs/>
          <w:color w:val="auto"/>
          <w:szCs w:val="22"/>
          <w:lang w:eastAsia="x-none"/>
        </w:rPr>
        <w:t>BLOCKS -</w:t>
      </w:r>
      <w:r w:rsidR="00C640D4" w:rsidRPr="00464D77">
        <w:rPr>
          <w:rFonts w:ascii="Cambria" w:hAnsi="Cambria" w:cs="Arial-BoldMT"/>
          <w:b/>
          <w:bCs/>
          <w:color w:val="auto"/>
          <w:szCs w:val="22"/>
          <w:lang w:eastAsia="x-none"/>
        </w:rPr>
        <w:t xml:space="preserve"> RAVVA &amp; CB-OS/2</w:t>
      </w:r>
      <w:bookmarkStart w:id="0" w:name="_GoBack"/>
      <w:bookmarkEnd w:id="0"/>
    </w:p>
    <w:p w14:paraId="7792B5C9" w14:textId="77777777" w:rsidR="00C156EB" w:rsidRPr="004954FC" w:rsidRDefault="00C156EB" w:rsidP="00847156">
      <w:pPr>
        <w:tabs>
          <w:tab w:val="left" w:pos="-270"/>
        </w:tabs>
        <w:ind w:left="-180" w:right="-360"/>
        <w:jc w:val="center"/>
        <w:rPr>
          <w:rFonts w:ascii="Arial" w:hAnsi="Arial" w:cs="Arial"/>
          <w:b/>
          <w:bCs/>
          <w:color w:val="000000" w:themeColor="text1"/>
          <w:szCs w:val="22"/>
        </w:rPr>
      </w:pPr>
    </w:p>
    <w:p w14:paraId="5254DBE0" w14:textId="3D03A8F1" w:rsidR="00CD06F3" w:rsidRPr="00464D77" w:rsidRDefault="00CD06F3" w:rsidP="00CD06F3">
      <w:pPr>
        <w:autoSpaceDE w:val="0"/>
        <w:autoSpaceDN w:val="0"/>
        <w:adjustRightInd w:val="0"/>
        <w:jc w:val="both"/>
        <w:rPr>
          <w:rFonts w:ascii="Cambria" w:hAnsi="Cambria" w:cs="Arial"/>
          <w:color w:val="000000" w:themeColor="text1"/>
          <w:szCs w:val="22"/>
        </w:rPr>
      </w:pPr>
      <w:r w:rsidRPr="00464D77">
        <w:rPr>
          <w:rFonts w:ascii="Cambria" w:hAnsi="Cambria" w:cs="Arial"/>
          <w:b/>
          <w:color w:val="000000" w:themeColor="text1"/>
          <w:szCs w:val="22"/>
        </w:rPr>
        <w:t>Cairn Oil and Gas</w:t>
      </w:r>
      <w:r w:rsidRPr="00464D77">
        <w:rPr>
          <w:rFonts w:ascii="Cambria" w:hAnsi="Cambria" w:cs="Arial"/>
          <w:color w:val="000000" w:themeColor="text1"/>
          <w:szCs w:val="22"/>
        </w:rPr>
        <w:t xml:space="preserve">, a vertical of </w:t>
      </w:r>
      <w:r w:rsidRPr="00464D77">
        <w:rPr>
          <w:rFonts w:ascii="Cambria" w:hAnsi="Cambria" w:cs="Arial"/>
          <w:b/>
          <w:color w:val="000000" w:themeColor="text1"/>
          <w:szCs w:val="22"/>
        </w:rPr>
        <w:t>Vedanta Limited</w:t>
      </w:r>
      <w:r w:rsidRPr="00464D77">
        <w:rPr>
          <w:rFonts w:ascii="Cambria" w:hAnsi="Cambria" w:cs="Arial"/>
          <w:color w:val="000000" w:themeColor="text1"/>
          <w:szCs w:val="22"/>
        </w:rPr>
        <w:t xml:space="preserve"> </w:t>
      </w:r>
      <w:r w:rsidR="008D07EA">
        <w:rPr>
          <w:rFonts w:ascii="Cambria" w:hAnsi="Cambria" w:cs="Arial"/>
          <w:color w:val="000000" w:themeColor="text1"/>
          <w:szCs w:val="22"/>
        </w:rPr>
        <w:t xml:space="preserve"> </w:t>
      </w:r>
      <w:r w:rsidR="008D07EA" w:rsidRPr="004512A4">
        <w:rPr>
          <w:rFonts w:ascii="Cambria" w:hAnsi="Cambria" w:cs="Calibri"/>
          <w:color w:val="auto"/>
          <w:szCs w:val="22"/>
        </w:rPr>
        <w:t>(“VL”)</w:t>
      </w:r>
      <w:r w:rsidR="008D07EA" w:rsidRPr="005C02EB">
        <w:rPr>
          <w:rFonts w:ascii="Cambria" w:hAnsi="Cambria" w:cs="Calibri"/>
          <w:color w:val="auto"/>
          <w:szCs w:val="22"/>
        </w:rPr>
        <w:t xml:space="preserve">, </w:t>
      </w:r>
      <w:r w:rsidRPr="00464D77">
        <w:rPr>
          <w:rFonts w:ascii="Cambria" w:hAnsi="Cambria" w:cs="Arial"/>
          <w:color w:val="000000" w:themeColor="text1"/>
          <w:szCs w:val="22"/>
        </w:rPr>
        <w:t xml:space="preserve">is the Operator </w:t>
      </w:r>
      <w:r w:rsidR="00E92EED" w:rsidRPr="00464D77">
        <w:rPr>
          <w:rFonts w:ascii="Cambria" w:hAnsi="Cambria" w:cs="Arial"/>
          <w:color w:val="000000" w:themeColor="text1"/>
          <w:szCs w:val="22"/>
        </w:rPr>
        <w:t>on behalf of itself and Joint Venture (JV) partner</w:t>
      </w:r>
      <w:r w:rsidR="007E654D" w:rsidRPr="00464D77">
        <w:rPr>
          <w:rFonts w:ascii="Cambria" w:hAnsi="Cambria" w:cs="Arial"/>
          <w:color w:val="000000" w:themeColor="text1"/>
          <w:szCs w:val="22"/>
        </w:rPr>
        <w:t>s</w:t>
      </w:r>
      <w:r w:rsidR="00E92EED" w:rsidRPr="00464D77">
        <w:rPr>
          <w:rFonts w:ascii="Cambria" w:hAnsi="Cambria" w:cs="Arial"/>
          <w:color w:val="000000" w:themeColor="text1"/>
          <w:szCs w:val="22"/>
        </w:rPr>
        <w:t xml:space="preserve"> Oil &amp; Natural Gas Corporation (ONGC) Ltd., </w:t>
      </w:r>
      <w:r w:rsidR="000C6F92" w:rsidRPr="00464D77">
        <w:rPr>
          <w:rFonts w:ascii="Cambria" w:hAnsi="Cambria" w:cs="Arial"/>
          <w:color w:val="000000" w:themeColor="text1"/>
          <w:szCs w:val="22"/>
        </w:rPr>
        <w:t>Videocon Industries Limited (VIL), Ravva Oil Singapore Pte</w:t>
      </w:r>
      <w:r w:rsidR="000D7C67" w:rsidRPr="00464D77">
        <w:rPr>
          <w:rFonts w:ascii="Cambria" w:hAnsi="Cambria" w:cs="Arial"/>
          <w:color w:val="000000" w:themeColor="text1"/>
          <w:szCs w:val="22"/>
        </w:rPr>
        <w:t xml:space="preserve"> Ltd </w:t>
      </w:r>
      <w:r w:rsidR="00B4775F" w:rsidRPr="00464D77">
        <w:rPr>
          <w:rFonts w:ascii="Cambria" w:hAnsi="Cambria" w:cs="Arial"/>
          <w:color w:val="000000" w:themeColor="text1"/>
          <w:szCs w:val="22"/>
        </w:rPr>
        <w:t xml:space="preserve">(ROS) </w:t>
      </w:r>
      <w:r w:rsidR="00E92EED" w:rsidRPr="00464D77">
        <w:rPr>
          <w:rFonts w:ascii="Cambria" w:hAnsi="Cambria" w:cs="Arial"/>
          <w:color w:val="000000" w:themeColor="text1"/>
          <w:szCs w:val="22"/>
        </w:rPr>
        <w:t xml:space="preserve">of the </w:t>
      </w:r>
      <w:r w:rsidR="00B4775F" w:rsidRPr="00464D77">
        <w:rPr>
          <w:rFonts w:ascii="Cambria" w:hAnsi="Cambria" w:cs="Arial"/>
          <w:color w:val="000000" w:themeColor="text1"/>
          <w:szCs w:val="22"/>
        </w:rPr>
        <w:t>Ravva</w:t>
      </w:r>
      <w:r w:rsidR="00E92EED" w:rsidRPr="00464D77">
        <w:rPr>
          <w:rFonts w:ascii="Cambria" w:hAnsi="Cambria" w:cs="Arial"/>
          <w:color w:val="000000" w:themeColor="text1"/>
          <w:szCs w:val="22"/>
        </w:rPr>
        <w:t xml:space="preserve"> block </w:t>
      </w:r>
      <w:r w:rsidR="00B4775F" w:rsidRPr="00464D77">
        <w:rPr>
          <w:rFonts w:ascii="Cambria" w:hAnsi="Cambria" w:cs="Arial"/>
          <w:color w:val="000000" w:themeColor="text1"/>
          <w:szCs w:val="22"/>
        </w:rPr>
        <w:t>PKGM-1</w:t>
      </w:r>
      <w:r w:rsidR="00E92EED" w:rsidRPr="00464D77">
        <w:rPr>
          <w:rFonts w:ascii="Cambria" w:hAnsi="Cambria" w:cs="Arial"/>
          <w:color w:val="000000" w:themeColor="text1"/>
          <w:szCs w:val="22"/>
        </w:rPr>
        <w:t xml:space="preserve"> (the “Block”) located in </w:t>
      </w:r>
      <w:r w:rsidR="00B4775F" w:rsidRPr="00464D77">
        <w:rPr>
          <w:rFonts w:ascii="Cambria" w:hAnsi="Cambria" w:cs="Arial"/>
          <w:color w:val="000000" w:themeColor="text1"/>
          <w:szCs w:val="22"/>
        </w:rPr>
        <w:t xml:space="preserve">Krishna Godavari Basin </w:t>
      </w:r>
      <w:r w:rsidR="00E92EED" w:rsidRPr="00464D77">
        <w:rPr>
          <w:rFonts w:ascii="Cambria" w:hAnsi="Cambria" w:cs="Arial"/>
          <w:color w:val="000000" w:themeColor="text1"/>
          <w:szCs w:val="22"/>
        </w:rPr>
        <w:t xml:space="preserve">, in the state of </w:t>
      </w:r>
      <w:r w:rsidR="00B4775F" w:rsidRPr="00464D77">
        <w:rPr>
          <w:rFonts w:ascii="Cambria" w:hAnsi="Cambria" w:cs="Arial"/>
          <w:color w:val="000000" w:themeColor="text1"/>
          <w:szCs w:val="22"/>
        </w:rPr>
        <w:t>Andhra Pradesh</w:t>
      </w:r>
      <w:r w:rsidR="00E92EED" w:rsidRPr="00464D77">
        <w:rPr>
          <w:rFonts w:ascii="Cambria" w:hAnsi="Cambria" w:cs="Arial"/>
          <w:color w:val="000000" w:themeColor="text1"/>
          <w:szCs w:val="22"/>
        </w:rPr>
        <w:t>, India</w:t>
      </w:r>
      <w:r w:rsidR="00C640D4" w:rsidRPr="00464D77">
        <w:rPr>
          <w:rFonts w:ascii="Cambria" w:hAnsi="Cambria" w:cs="Arial"/>
          <w:color w:val="000000" w:themeColor="text1"/>
          <w:szCs w:val="22"/>
        </w:rPr>
        <w:t xml:space="preserve"> and on behalf of itself and JV partners Oil &amp; Natural Gas Corporation (ONGC) Ltd. &amp; Tata </w:t>
      </w:r>
      <w:proofErr w:type="spellStart"/>
      <w:r w:rsidR="00C640D4" w:rsidRPr="00464D77">
        <w:rPr>
          <w:rFonts w:ascii="Cambria" w:hAnsi="Cambria" w:cs="Arial"/>
          <w:color w:val="000000" w:themeColor="text1"/>
          <w:szCs w:val="22"/>
        </w:rPr>
        <w:t>Petrodyne</w:t>
      </w:r>
      <w:proofErr w:type="spellEnd"/>
      <w:r w:rsidR="00C640D4" w:rsidRPr="00464D77">
        <w:rPr>
          <w:rFonts w:ascii="Cambria" w:hAnsi="Cambria" w:cs="Arial"/>
          <w:color w:val="000000" w:themeColor="text1"/>
          <w:szCs w:val="22"/>
        </w:rPr>
        <w:t xml:space="preserve"> Limited of the CB-OS/2 block located in Cambay Basin, in the state of Gujarat India. </w:t>
      </w:r>
    </w:p>
    <w:p w14:paraId="1C8403F5" w14:textId="77777777" w:rsidR="000574D5" w:rsidRPr="00464D77" w:rsidRDefault="000574D5" w:rsidP="00AE155C">
      <w:pPr>
        <w:autoSpaceDE w:val="0"/>
        <w:autoSpaceDN w:val="0"/>
        <w:adjustRightInd w:val="0"/>
        <w:jc w:val="both"/>
        <w:rPr>
          <w:rFonts w:ascii="Cambria" w:hAnsi="Cambria" w:cs="Arial"/>
          <w:color w:val="000000" w:themeColor="text1"/>
          <w:szCs w:val="22"/>
        </w:rPr>
      </w:pPr>
    </w:p>
    <w:p w14:paraId="0F9890D8" w14:textId="1E3650E2" w:rsidR="00981168" w:rsidRPr="00464D77" w:rsidRDefault="00C640D4" w:rsidP="008D07EA">
      <w:pPr>
        <w:spacing w:before="29"/>
        <w:ind w:right="55"/>
        <w:jc w:val="both"/>
        <w:rPr>
          <w:rFonts w:ascii="Cambria" w:hAnsi="Cambria" w:cs="Arial"/>
          <w:color w:val="000000" w:themeColor="text1"/>
          <w:szCs w:val="22"/>
        </w:rPr>
      </w:pPr>
      <w:r w:rsidRPr="00464D77">
        <w:rPr>
          <w:rFonts w:ascii="Cambria" w:hAnsi="Cambria" w:cs="Arial"/>
          <w:color w:val="000000" w:themeColor="text1"/>
          <w:szCs w:val="22"/>
        </w:rPr>
        <w:t>Ravva block &amp; CB block –</w:t>
      </w:r>
      <w:r w:rsidR="00981168" w:rsidRPr="00464D77">
        <w:rPr>
          <w:rFonts w:ascii="Cambria" w:hAnsi="Cambria" w:cs="Arial"/>
          <w:color w:val="000000" w:themeColor="text1"/>
          <w:szCs w:val="22"/>
        </w:rPr>
        <w:t xml:space="preserve"> </w:t>
      </w:r>
      <w:r w:rsidR="00981168" w:rsidRPr="00464D77">
        <w:rPr>
          <w:rFonts w:ascii="Cambria" w:hAnsi="Cambria" w:cs="Arial"/>
          <w:color w:val="000000" w:themeColor="text1"/>
          <w:szCs w:val="22"/>
          <w:lang w:val="en-US"/>
        </w:rPr>
        <w:t xml:space="preserve">Reserves in the main RAVVA field area </w:t>
      </w:r>
      <w:proofErr w:type="gramStart"/>
      <w:r w:rsidR="00981168" w:rsidRPr="00464D77">
        <w:rPr>
          <w:rFonts w:ascii="Cambria" w:hAnsi="Cambria" w:cs="Arial"/>
          <w:color w:val="000000" w:themeColor="text1"/>
          <w:szCs w:val="22"/>
          <w:lang w:val="en-US"/>
        </w:rPr>
        <w:t>are located in</w:t>
      </w:r>
      <w:proofErr w:type="gramEnd"/>
      <w:r w:rsidR="00981168" w:rsidRPr="00464D77">
        <w:rPr>
          <w:rFonts w:ascii="Cambria" w:hAnsi="Cambria" w:cs="Arial"/>
          <w:color w:val="000000" w:themeColor="text1"/>
          <w:szCs w:val="22"/>
          <w:lang w:val="en-US"/>
        </w:rPr>
        <w:t xml:space="preserve"> 3 main fault blocks: RA/RB/RC/RD, RE/RF/RB, and RG. The field has been developed with 8 unmanned platforms with onshore processing and offshore loading via SPM.  </w:t>
      </w:r>
    </w:p>
    <w:p w14:paraId="6AF962D7" w14:textId="24C9A5ED" w:rsidR="00C640D4" w:rsidRPr="00464D77" w:rsidRDefault="00C640D4" w:rsidP="008D07EA">
      <w:pPr>
        <w:spacing w:before="29"/>
        <w:ind w:right="55"/>
        <w:jc w:val="both"/>
        <w:rPr>
          <w:rFonts w:ascii="Cambria" w:hAnsi="Cambria" w:cs="Arial"/>
          <w:color w:val="000000" w:themeColor="text1"/>
          <w:szCs w:val="22"/>
        </w:rPr>
      </w:pPr>
    </w:p>
    <w:p w14:paraId="69CD14B8" w14:textId="5BCF608D" w:rsidR="00BD447C" w:rsidRPr="00464D77" w:rsidRDefault="00C640D4" w:rsidP="004954FC">
      <w:pPr>
        <w:spacing w:before="29"/>
        <w:ind w:right="55"/>
        <w:jc w:val="both"/>
        <w:rPr>
          <w:rFonts w:ascii="Cambria" w:hAnsi="Cambria" w:cs="Arial"/>
          <w:color w:val="000000" w:themeColor="text1"/>
          <w:szCs w:val="22"/>
        </w:rPr>
      </w:pPr>
      <w:r w:rsidRPr="00464D77">
        <w:rPr>
          <w:rFonts w:ascii="Cambria" w:hAnsi="Cambria" w:cs="Arial"/>
          <w:color w:val="000000" w:themeColor="text1"/>
          <w:szCs w:val="22"/>
        </w:rPr>
        <w:t>In Ravva, i</w:t>
      </w:r>
      <w:r w:rsidR="00AD71AC" w:rsidRPr="00464D77">
        <w:rPr>
          <w:rFonts w:ascii="Cambria" w:hAnsi="Cambria" w:cs="Arial"/>
          <w:color w:val="000000" w:themeColor="text1"/>
          <w:szCs w:val="22"/>
        </w:rPr>
        <w:t xml:space="preserve">t operates </w:t>
      </w:r>
      <w:r w:rsidR="0002375C" w:rsidRPr="00464D77">
        <w:rPr>
          <w:rFonts w:ascii="Cambria" w:hAnsi="Cambria" w:cs="Arial"/>
          <w:color w:val="000000" w:themeColor="text1"/>
          <w:szCs w:val="22"/>
        </w:rPr>
        <w:t xml:space="preserve">eight offshore platforms, one SPM, </w:t>
      </w:r>
      <w:r w:rsidR="00446AFB" w:rsidRPr="00464D77">
        <w:rPr>
          <w:rFonts w:ascii="Cambria" w:hAnsi="Cambria" w:cs="Arial"/>
          <w:color w:val="000000" w:themeColor="text1"/>
          <w:szCs w:val="22"/>
        </w:rPr>
        <w:t xml:space="preserve">network </w:t>
      </w:r>
      <w:r w:rsidR="00D12D4F" w:rsidRPr="00464D77">
        <w:rPr>
          <w:rFonts w:ascii="Cambria" w:hAnsi="Cambria" w:cs="Arial"/>
          <w:color w:val="000000" w:themeColor="text1"/>
          <w:szCs w:val="22"/>
        </w:rPr>
        <w:t xml:space="preserve">of sub-sea pipelines and </w:t>
      </w:r>
      <w:r w:rsidR="0002375C" w:rsidRPr="00464D77">
        <w:rPr>
          <w:rFonts w:ascii="Cambria" w:hAnsi="Cambria" w:cs="Arial"/>
          <w:color w:val="000000" w:themeColor="text1"/>
          <w:szCs w:val="22"/>
        </w:rPr>
        <w:t>one onshore processing terminal</w:t>
      </w:r>
      <w:r w:rsidR="00BD447C" w:rsidRPr="00464D77">
        <w:rPr>
          <w:rFonts w:ascii="Cambria" w:hAnsi="Cambria" w:cs="Arial"/>
          <w:color w:val="000000" w:themeColor="text1"/>
          <w:szCs w:val="22"/>
        </w:rPr>
        <w:t xml:space="preserve"> having a capacity to process around 50,000 </w:t>
      </w:r>
      <w:proofErr w:type="spellStart"/>
      <w:r w:rsidR="00BD447C" w:rsidRPr="00464D77">
        <w:rPr>
          <w:rFonts w:ascii="Cambria" w:hAnsi="Cambria" w:cs="Arial"/>
          <w:color w:val="000000" w:themeColor="text1"/>
          <w:szCs w:val="22"/>
        </w:rPr>
        <w:t>bopd</w:t>
      </w:r>
      <w:proofErr w:type="spellEnd"/>
      <w:r w:rsidR="00BD447C" w:rsidRPr="00464D77">
        <w:rPr>
          <w:rFonts w:ascii="Cambria" w:hAnsi="Cambria" w:cs="Arial"/>
          <w:color w:val="000000" w:themeColor="text1"/>
          <w:szCs w:val="22"/>
        </w:rPr>
        <w:t xml:space="preserve"> of crude oil, 2.2 </w:t>
      </w:r>
      <w:proofErr w:type="spellStart"/>
      <w:r w:rsidR="00BD447C" w:rsidRPr="00464D77">
        <w:rPr>
          <w:rFonts w:ascii="Cambria" w:hAnsi="Cambria" w:cs="Arial"/>
          <w:color w:val="000000" w:themeColor="text1"/>
          <w:szCs w:val="22"/>
        </w:rPr>
        <w:t>mmsc</w:t>
      </w:r>
      <w:r w:rsidR="00897E35" w:rsidRPr="00464D77">
        <w:rPr>
          <w:rFonts w:ascii="Cambria" w:hAnsi="Cambria" w:cs="Arial"/>
          <w:color w:val="000000" w:themeColor="text1"/>
          <w:szCs w:val="22"/>
        </w:rPr>
        <w:t>m</w:t>
      </w:r>
      <w:r w:rsidR="00BD447C" w:rsidRPr="00464D77">
        <w:rPr>
          <w:rFonts w:ascii="Cambria" w:hAnsi="Cambria" w:cs="Arial"/>
          <w:color w:val="000000" w:themeColor="text1"/>
          <w:szCs w:val="22"/>
        </w:rPr>
        <w:t>d</w:t>
      </w:r>
      <w:proofErr w:type="spellEnd"/>
      <w:r w:rsidR="00BD447C" w:rsidRPr="00464D77">
        <w:rPr>
          <w:rFonts w:ascii="Cambria" w:hAnsi="Cambria" w:cs="Arial"/>
          <w:color w:val="000000" w:themeColor="text1"/>
          <w:szCs w:val="22"/>
        </w:rPr>
        <w:t xml:space="preserve"> of natural gas, 110,000 </w:t>
      </w:r>
      <w:proofErr w:type="spellStart"/>
      <w:r w:rsidR="00BD447C" w:rsidRPr="00464D77">
        <w:rPr>
          <w:rFonts w:ascii="Cambria" w:hAnsi="Cambria" w:cs="Arial"/>
          <w:color w:val="000000" w:themeColor="text1"/>
          <w:szCs w:val="22"/>
        </w:rPr>
        <w:t>bwpd</w:t>
      </w:r>
      <w:proofErr w:type="spellEnd"/>
      <w:r w:rsidR="00BD447C" w:rsidRPr="00464D77">
        <w:rPr>
          <w:rFonts w:ascii="Cambria" w:hAnsi="Cambria" w:cs="Arial"/>
          <w:color w:val="000000" w:themeColor="text1"/>
          <w:szCs w:val="22"/>
        </w:rPr>
        <w:t xml:space="preserve"> of injection water and 1.0 million barrels of crude oil storage </w:t>
      </w:r>
      <w:r w:rsidR="0002375C" w:rsidRPr="00464D77">
        <w:rPr>
          <w:rFonts w:ascii="Cambria" w:hAnsi="Cambria" w:cs="Arial"/>
          <w:color w:val="000000" w:themeColor="text1"/>
          <w:szCs w:val="22"/>
        </w:rPr>
        <w:t xml:space="preserve">in East Godavari District, Andhra Pradesh, India. </w:t>
      </w:r>
    </w:p>
    <w:p w14:paraId="035D7958" w14:textId="77777777" w:rsidR="00D87E10" w:rsidRPr="00464D77" w:rsidRDefault="00D87E10" w:rsidP="00D87E10">
      <w:pPr>
        <w:autoSpaceDE w:val="0"/>
        <w:autoSpaceDN w:val="0"/>
        <w:adjustRightInd w:val="0"/>
        <w:rPr>
          <w:rFonts w:ascii="Cambria" w:eastAsiaTheme="minorHAnsi" w:hAnsi="Cambria" w:cs="Arial-BoldMT"/>
          <w:color w:val="auto"/>
          <w:szCs w:val="22"/>
          <w:lang w:val="en-US"/>
        </w:rPr>
      </w:pPr>
    </w:p>
    <w:p w14:paraId="2175AC4C" w14:textId="4DBF2890" w:rsidR="00D87E10" w:rsidRPr="00464D77" w:rsidRDefault="00D87E10" w:rsidP="008D07EA">
      <w:pPr>
        <w:autoSpaceDE w:val="0"/>
        <w:autoSpaceDN w:val="0"/>
        <w:adjustRightInd w:val="0"/>
        <w:jc w:val="both"/>
        <w:rPr>
          <w:rFonts w:ascii="Cambria" w:hAnsi="Cambria" w:cs="Arial"/>
          <w:color w:val="000000" w:themeColor="text1"/>
          <w:szCs w:val="22"/>
        </w:rPr>
      </w:pPr>
      <w:r w:rsidRPr="00464D77">
        <w:rPr>
          <w:rFonts w:ascii="Cambria" w:eastAsiaTheme="minorHAnsi" w:hAnsi="Cambria" w:cs="Arial-BoldMT"/>
          <w:color w:val="auto"/>
          <w:szCs w:val="22"/>
          <w:lang w:val="en-US"/>
        </w:rPr>
        <w:t xml:space="preserve">Onshore Processing </w:t>
      </w:r>
      <w:r w:rsidRPr="00464D77">
        <w:rPr>
          <w:rFonts w:ascii="Cambria" w:eastAsiaTheme="minorHAnsi" w:hAnsi="Cambria" w:cs="ArialMT"/>
          <w:color w:val="auto"/>
          <w:szCs w:val="22"/>
          <w:lang w:val="en-US"/>
        </w:rPr>
        <w:t xml:space="preserve">facilities at Ravva plant consist of Oil/Gas/Water separation, intermediate storage, evacuation of Oil &amp; Gas (trucking/pipeline), treatment of produced water and injection of </w:t>
      </w:r>
      <w:r w:rsidR="00971E02" w:rsidRPr="00464D77">
        <w:rPr>
          <w:rFonts w:ascii="Cambria" w:eastAsiaTheme="minorHAnsi" w:hAnsi="Cambria" w:cs="ArialMT"/>
          <w:color w:val="auto"/>
          <w:szCs w:val="22"/>
          <w:lang w:val="en-US"/>
        </w:rPr>
        <w:t>produced</w:t>
      </w:r>
      <w:r w:rsidRPr="00464D77">
        <w:rPr>
          <w:rFonts w:ascii="Cambria" w:eastAsiaTheme="minorHAnsi" w:hAnsi="Cambria" w:cs="ArialMT"/>
          <w:color w:val="auto"/>
          <w:szCs w:val="22"/>
          <w:lang w:val="en-US"/>
        </w:rPr>
        <w:t xml:space="preserve"> water along with Borewell water into formation to maintain reservoir pressure. </w:t>
      </w:r>
    </w:p>
    <w:p w14:paraId="3DB7F044" w14:textId="77777777" w:rsidR="00D87E10" w:rsidRPr="00464D77" w:rsidRDefault="00D87E10" w:rsidP="004954FC">
      <w:pPr>
        <w:spacing w:before="29"/>
        <w:ind w:right="55"/>
        <w:jc w:val="both"/>
        <w:rPr>
          <w:rFonts w:ascii="Cambria" w:hAnsi="Cambria" w:cs="Arial"/>
          <w:color w:val="000000" w:themeColor="text1"/>
          <w:szCs w:val="22"/>
        </w:rPr>
      </w:pPr>
    </w:p>
    <w:p w14:paraId="684F875D" w14:textId="39892903" w:rsidR="006F64D3" w:rsidRPr="00464D77" w:rsidRDefault="008D07EA" w:rsidP="008D07EA">
      <w:pPr>
        <w:spacing w:before="29"/>
        <w:ind w:right="55"/>
        <w:jc w:val="both"/>
        <w:rPr>
          <w:rFonts w:ascii="Cambria" w:hAnsi="Cambria" w:cs="Arial"/>
          <w:color w:val="000000" w:themeColor="text1"/>
          <w:szCs w:val="22"/>
          <w:lang w:val="en-US"/>
        </w:rPr>
      </w:pPr>
      <w:r w:rsidRPr="004512A4">
        <w:rPr>
          <w:rFonts w:ascii="Cambria" w:hAnsi="Cambria" w:cs="Calibri"/>
          <w:color w:val="auto"/>
          <w:szCs w:val="22"/>
        </w:rPr>
        <w:t>VL</w:t>
      </w:r>
      <w:r w:rsidRPr="005C02EB">
        <w:rPr>
          <w:rFonts w:ascii="Cambria" w:hAnsi="Cambria" w:cs="Calibri"/>
          <w:color w:val="auto"/>
          <w:szCs w:val="22"/>
        </w:rPr>
        <w:t xml:space="preserve">, </w:t>
      </w:r>
      <w:r w:rsidR="002A194A" w:rsidRPr="00464D77">
        <w:rPr>
          <w:rFonts w:ascii="Cambria" w:hAnsi="Cambria" w:cs="Arial"/>
          <w:color w:val="000000" w:themeColor="text1"/>
          <w:szCs w:val="22"/>
          <w:lang w:val="en-US"/>
        </w:rPr>
        <w:t>is the Operator of the Lakshmi and Gauri</w:t>
      </w:r>
      <w:r w:rsidR="00F45434" w:rsidRPr="00464D77">
        <w:rPr>
          <w:rFonts w:ascii="Cambria" w:hAnsi="Cambria" w:cs="Arial"/>
          <w:color w:val="000000" w:themeColor="text1"/>
          <w:szCs w:val="22"/>
          <w:lang w:val="en-US"/>
        </w:rPr>
        <w:t xml:space="preserve"> </w:t>
      </w:r>
      <w:r w:rsidR="002A194A" w:rsidRPr="00464D77">
        <w:rPr>
          <w:rFonts w:ascii="Cambria" w:hAnsi="Cambria" w:cs="Arial"/>
          <w:color w:val="000000" w:themeColor="text1"/>
          <w:szCs w:val="22"/>
          <w:lang w:val="en-US"/>
        </w:rPr>
        <w:t xml:space="preserve">offshore oil &amp; gas fields. </w:t>
      </w:r>
      <w:r w:rsidR="002A194A" w:rsidRPr="00464D77">
        <w:rPr>
          <w:rFonts w:ascii="Cambria" w:hAnsi="Cambria" w:cs="Arial"/>
          <w:color w:val="000000" w:themeColor="text1"/>
          <w:szCs w:val="22"/>
        </w:rPr>
        <w:t xml:space="preserve">There are three platforms LA, LB and GA having a total of 24 wells consisting of oil and gas producers only. </w:t>
      </w:r>
      <w:r>
        <w:rPr>
          <w:rFonts w:ascii="Cambria" w:hAnsi="Cambria" w:cs="Arial"/>
          <w:color w:val="000000" w:themeColor="text1"/>
          <w:szCs w:val="22"/>
        </w:rPr>
        <w:t xml:space="preserve"> </w:t>
      </w:r>
      <w:r w:rsidR="002A194A" w:rsidRPr="00464D77">
        <w:rPr>
          <w:rFonts w:ascii="Cambria" w:hAnsi="Cambria" w:cs="Arial"/>
          <w:color w:val="000000" w:themeColor="text1"/>
          <w:szCs w:val="22"/>
          <w:lang w:val="en-US"/>
        </w:rPr>
        <w:t>The block primarily comprises of Lakshmi and Gauri fields which are located</w:t>
      </w:r>
      <w:r w:rsidR="00F45434" w:rsidRPr="00464D77">
        <w:rPr>
          <w:rFonts w:ascii="Cambria" w:hAnsi="Cambria" w:cs="Arial"/>
          <w:color w:val="000000" w:themeColor="text1"/>
          <w:szCs w:val="22"/>
          <w:lang w:val="en-US"/>
        </w:rPr>
        <w:t xml:space="preserve"> </w:t>
      </w:r>
      <w:r w:rsidR="002A194A" w:rsidRPr="00464D77">
        <w:rPr>
          <w:rFonts w:ascii="Cambria" w:hAnsi="Cambria" w:cs="Arial"/>
          <w:color w:val="000000" w:themeColor="text1"/>
          <w:szCs w:val="22"/>
          <w:lang w:val="en-US"/>
        </w:rPr>
        <w:t>approximately 10 km from the nearest coastline in the shallow water depths of ~20-25m. The oil &amp; gas production from the block is transported to an onshore Oil and Gas Processing facility at Suvali through a trunk pipeline.</w:t>
      </w:r>
      <w:r w:rsidR="006F64D3" w:rsidRPr="00464D77">
        <w:rPr>
          <w:rFonts w:ascii="Cambria" w:hAnsi="Cambria" w:cs="Arial"/>
          <w:color w:val="000000" w:themeColor="text1"/>
          <w:szCs w:val="22"/>
          <w:lang w:val="en-US"/>
        </w:rPr>
        <w:t xml:space="preserve">   </w:t>
      </w:r>
    </w:p>
    <w:p w14:paraId="4E08F96A" w14:textId="77777777" w:rsidR="00F45434" w:rsidRPr="00464D77" w:rsidRDefault="00F45434" w:rsidP="006F64D3">
      <w:pPr>
        <w:autoSpaceDE w:val="0"/>
        <w:autoSpaceDN w:val="0"/>
        <w:adjustRightInd w:val="0"/>
        <w:rPr>
          <w:rFonts w:ascii="Cambria" w:eastAsiaTheme="minorHAnsi" w:hAnsi="Cambria" w:cs="Arial-BoldMT"/>
          <w:b/>
          <w:bCs/>
          <w:color w:val="auto"/>
          <w:szCs w:val="22"/>
          <w:lang w:val="en-US"/>
        </w:rPr>
      </w:pPr>
    </w:p>
    <w:p w14:paraId="4955304C" w14:textId="77777777" w:rsidR="002A194A" w:rsidRPr="00464D77" w:rsidRDefault="006F64D3" w:rsidP="008D07EA">
      <w:pPr>
        <w:autoSpaceDE w:val="0"/>
        <w:autoSpaceDN w:val="0"/>
        <w:adjustRightInd w:val="0"/>
        <w:jc w:val="both"/>
        <w:rPr>
          <w:rFonts w:ascii="Cambria" w:hAnsi="Cambria" w:cs="Arial"/>
          <w:color w:val="000000" w:themeColor="text1"/>
          <w:szCs w:val="22"/>
        </w:rPr>
      </w:pPr>
      <w:r w:rsidRPr="00464D77">
        <w:rPr>
          <w:rFonts w:ascii="Cambria" w:eastAsiaTheme="minorHAnsi" w:hAnsi="Cambria" w:cs="Arial-BoldMT"/>
          <w:color w:val="auto"/>
          <w:szCs w:val="22"/>
          <w:lang w:val="en-US"/>
        </w:rPr>
        <w:t xml:space="preserve">Onshore Processing </w:t>
      </w:r>
      <w:r w:rsidRPr="00464D77">
        <w:rPr>
          <w:rFonts w:ascii="Cambria" w:eastAsiaTheme="minorHAnsi" w:hAnsi="Cambria" w:cs="ArialMT"/>
          <w:color w:val="auto"/>
          <w:szCs w:val="22"/>
          <w:lang w:val="en-US"/>
        </w:rPr>
        <w:t>facilities at Suvali consist of Oil/Gas/Water</w:t>
      </w:r>
      <w:r w:rsidR="00F45434" w:rsidRPr="00464D77">
        <w:rPr>
          <w:rFonts w:ascii="Cambria" w:eastAsiaTheme="minorHAnsi" w:hAnsi="Cambria" w:cs="ArialMT"/>
          <w:color w:val="auto"/>
          <w:szCs w:val="22"/>
          <w:lang w:val="en-US"/>
        </w:rPr>
        <w:t xml:space="preserve"> </w:t>
      </w:r>
      <w:r w:rsidRPr="00464D77">
        <w:rPr>
          <w:rFonts w:ascii="Cambria" w:eastAsiaTheme="minorHAnsi" w:hAnsi="Cambria" w:cs="ArialMT"/>
          <w:color w:val="auto"/>
          <w:szCs w:val="22"/>
          <w:lang w:val="en-US"/>
        </w:rPr>
        <w:t>separation, intermediate storage, evacuation of Oil &amp; Gas (trucking/pipeline), treatment</w:t>
      </w:r>
      <w:r w:rsidR="00F45434" w:rsidRPr="00464D77">
        <w:rPr>
          <w:rFonts w:ascii="Cambria" w:eastAsiaTheme="minorHAnsi" w:hAnsi="Cambria" w:cs="ArialMT"/>
          <w:color w:val="auto"/>
          <w:szCs w:val="22"/>
          <w:lang w:val="en-US"/>
        </w:rPr>
        <w:t xml:space="preserve"> </w:t>
      </w:r>
      <w:r w:rsidRPr="00464D77">
        <w:rPr>
          <w:rFonts w:ascii="Cambria" w:eastAsiaTheme="minorHAnsi" w:hAnsi="Cambria" w:cs="ArialMT"/>
          <w:color w:val="auto"/>
          <w:szCs w:val="22"/>
          <w:lang w:val="en-US"/>
        </w:rPr>
        <w:t>of produced water and disposal of reject water into sea (pipeline/outfall). The Liquid</w:t>
      </w:r>
      <w:r w:rsidR="00F45434" w:rsidRPr="00464D77">
        <w:rPr>
          <w:rFonts w:ascii="Cambria" w:eastAsiaTheme="minorHAnsi" w:hAnsi="Cambria" w:cs="ArialMT"/>
          <w:color w:val="auto"/>
          <w:szCs w:val="22"/>
          <w:lang w:val="en-US"/>
        </w:rPr>
        <w:t xml:space="preserve"> </w:t>
      </w:r>
      <w:r w:rsidRPr="00464D77">
        <w:rPr>
          <w:rFonts w:ascii="Cambria" w:eastAsiaTheme="minorHAnsi" w:hAnsi="Cambria" w:cs="ArialMT"/>
          <w:color w:val="auto"/>
          <w:szCs w:val="22"/>
          <w:lang w:val="en-US"/>
        </w:rPr>
        <w:t>Handling facilities at Suvali had the design capacity to process 10000 BOPD and 3000</w:t>
      </w:r>
      <w:r w:rsidR="00F45434" w:rsidRPr="00464D77">
        <w:rPr>
          <w:rFonts w:ascii="Cambria" w:eastAsiaTheme="minorHAnsi" w:hAnsi="Cambria" w:cs="ArialMT"/>
          <w:color w:val="auto"/>
          <w:szCs w:val="22"/>
          <w:lang w:val="en-US"/>
        </w:rPr>
        <w:t xml:space="preserve"> </w:t>
      </w:r>
      <w:r w:rsidRPr="00464D77">
        <w:rPr>
          <w:rFonts w:ascii="Cambria" w:eastAsiaTheme="minorHAnsi" w:hAnsi="Cambria" w:cs="ArialMT"/>
          <w:color w:val="auto"/>
          <w:szCs w:val="22"/>
          <w:lang w:val="en-US"/>
        </w:rPr>
        <w:t>BWPD.</w:t>
      </w:r>
    </w:p>
    <w:p w14:paraId="642AB6D0" w14:textId="77777777" w:rsidR="002A194A" w:rsidRPr="00464D77" w:rsidRDefault="002A194A" w:rsidP="000B044A">
      <w:pPr>
        <w:spacing w:before="29"/>
        <w:ind w:right="55"/>
        <w:rPr>
          <w:rFonts w:ascii="Cambria" w:hAnsi="Cambria" w:cs="Arial"/>
          <w:color w:val="000000" w:themeColor="text1"/>
          <w:szCs w:val="22"/>
        </w:rPr>
      </w:pPr>
    </w:p>
    <w:p w14:paraId="7D93577F" w14:textId="25E48FEF" w:rsidR="00A50297" w:rsidRPr="00464D77" w:rsidRDefault="00CD06F3" w:rsidP="004954FC">
      <w:pPr>
        <w:spacing w:before="29"/>
        <w:ind w:right="55"/>
        <w:jc w:val="both"/>
        <w:rPr>
          <w:rFonts w:ascii="Cambria" w:eastAsia="Cambria" w:hAnsi="Cambria" w:cs="Arial"/>
          <w:color w:val="000000" w:themeColor="text1"/>
          <w:szCs w:val="22"/>
        </w:rPr>
      </w:pPr>
      <w:r w:rsidRPr="00464D77">
        <w:rPr>
          <w:rFonts w:ascii="Cambria" w:hAnsi="Cambria" w:cs="Arial"/>
          <w:color w:val="000000" w:themeColor="text1"/>
          <w:szCs w:val="22"/>
        </w:rPr>
        <w:t xml:space="preserve">The Operator on behalf of itself &amp; Joint Venture (JV) partner(s) invites interested contractors with proven capabilities and demonstrated performance in similar requirement to express their interest for pre-qualification to participate in the </w:t>
      </w:r>
      <w:r w:rsidR="00B4775F" w:rsidRPr="00464D77">
        <w:rPr>
          <w:rFonts w:ascii="Cambria" w:hAnsi="Cambria" w:cs="Arial"/>
          <w:color w:val="000000" w:themeColor="text1"/>
          <w:szCs w:val="22"/>
        </w:rPr>
        <w:t>Inter</w:t>
      </w:r>
      <w:r w:rsidR="005B5162" w:rsidRPr="00464D77">
        <w:rPr>
          <w:rFonts w:ascii="Cambria" w:hAnsi="Cambria" w:cs="Arial"/>
          <w:color w:val="000000" w:themeColor="text1"/>
          <w:szCs w:val="22"/>
        </w:rPr>
        <w:t xml:space="preserve">national </w:t>
      </w:r>
      <w:r w:rsidRPr="00464D77">
        <w:rPr>
          <w:rFonts w:ascii="Cambria" w:hAnsi="Cambria" w:cs="Arial"/>
          <w:color w:val="000000" w:themeColor="text1"/>
          <w:szCs w:val="22"/>
        </w:rPr>
        <w:t>Competitive Bidding Process for the</w:t>
      </w:r>
      <w:r w:rsidRPr="00464D77">
        <w:rPr>
          <w:rFonts w:ascii="Cambria" w:hAnsi="Cambria" w:cs="Arial"/>
          <w:b/>
          <w:color w:val="000000" w:themeColor="text1"/>
          <w:szCs w:val="22"/>
        </w:rPr>
        <w:t xml:space="preserve"> ‘‘</w:t>
      </w:r>
      <w:r w:rsidR="00C640D4" w:rsidRPr="00464D77">
        <w:rPr>
          <w:rFonts w:ascii="Cambria" w:hAnsi="Cambria" w:cs="Arial"/>
          <w:b/>
          <w:color w:val="000000" w:themeColor="text1"/>
          <w:szCs w:val="22"/>
        </w:rPr>
        <w:t xml:space="preserve">PROVISION OF INTEGRATED </w:t>
      </w:r>
      <w:r w:rsidR="00EF2A5B" w:rsidRPr="00464D77">
        <w:rPr>
          <w:rFonts w:ascii="Cambria" w:hAnsi="Cambria" w:cs="Arial"/>
          <w:b/>
          <w:bCs/>
          <w:color w:val="000000"/>
          <w:szCs w:val="22"/>
        </w:rPr>
        <w:t xml:space="preserve">WELL AND RESERVOIR MANAGEMENT SERVICES </w:t>
      </w:r>
      <w:r w:rsidR="00C640D4" w:rsidRPr="00464D77">
        <w:rPr>
          <w:rFonts w:ascii="Cambria" w:hAnsi="Cambria" w:cs="Arial"/>
          <w:b/>
          <w:bCs/>
          <w:color w:val="000000" w:themeColor="text1"/>
          <w:szCs w:val="22"/>
        </w:rPr>
        <w:t>FOR THE OFFSHORE BLOCKS – RAVVA &amp; CB-OS/2</w:t>
      </w:r>
      <w:r w:rsidR="00A50297" w:rsidRPr="00464D77">
        <w:rPr>
          <w:rFonts w:ascii="Cambria" w:hAnsi="Cambria" w:cs="Arial"/>
          <w:b/>
          <w:bCs/>
          <w:color w:val="000000" w:themeColor="text1"/>
          <w:szCs w:val="22"/>
        </w:rPr>
        <w:t>”</w:t>
      </w:r>
    </w:p>
    <w:p w14:paraId="1890A032" w14:textId="77777777" w:rsidR="00CD06F3" w:rsidRPr="00464D77" w:rsidRDefault="00CD06F3" w:rsidP="00A50297">
      <w:pPr>
        <w:autoSpaceDE w:val="0"/>
        <w:autoSpaceDN w:val="0"/>
        <w:adjustRightInd w:val="0"/>
        <w:jc w:val="both"/>
        <w:rPr>
          <w:rFonts w:ascii="Cambria" w:hAnsi="Cambria" w:cs="Arial"/>
          <w:b/>
          <w:color w:val="000000" w:themeColor="text1"/>
          <w:szCs w:val="22"/>
        </w:rPr>
      </w:pPr>
    </w:p>
    <w:p w14:paraId="7F5E57C8" w14:textId="22814590" w:rsidR="004954FC" w:rsidRPr="00464D77" w:rsidRDefault="00E92EED" w:rsidP="004954FC">
      <w:pPr>
        <w:tabs>
          <w:tab w:val="left" w:pos="450"/>
        </w:tabs>
        <w:ind w:right="-36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 xml:space="preserve">Scope of Work broadly includes </w:t>
      </w:r>
      <w:r w:rsidR="00D87E10" w:rsidRPr="00464D77">
        <w:rPr>
          <w:rFonts w:ascii="Cambria" w:eastAsiaTheme="minorHAnsi" w:hAnsi="Cambria" w:cs="Arial"/>
          <w:color w:val="000000" w:themeColor="text1"/>
          <w:szCs w:val="22"/>
          <w:lang w:val="en-IN"/>
        </w:rPr>
        <w:t xml:space="preserve">provision of </w:t>
      </w:r>
      <w:r w:rsidR="002A29EE" w:rsidRPr="00464D77">
        <w:rPr>
          <w:rFonts w:ascii="Cambria" w:eastAsiaTheme="minorHAnsi" w:hAnsi="Cambria" w:cs="Arial"/>
          <w:color w:val="000000" w:themeColor="text1"/>
          <w:szCs w:val="22"/>
          <w:lang w:val="en-IN"/>
        </w:rPr>
        <w:t>multiple type</w:t>
      </w:r>
      <w:r w:rsidR="00D87E10" w:rsidRPr="00464D77">
        <w:rPr>
          <w:rFonts w:ascii="Cambria" w:eastAsiaTheme="minorHAnsi" w:hAnsi="Cambria" w:cs="Arial"/>
          <w:color w:val="000000" w:themeColor="text1"/>
          <w:szCs w:val="22"/>
          <w:lang w:val="en-IN"/>
        </w:rPr>
        <w:t xml:space="preserve"> of Oil Field</w:t>
      </w:r>
      <w:r w:rsidR="00B01394" w:rsidRPr="00464D77">
        <w:rPr>
          <w:rFonts w:ascii="Cambria" w:eastAsiaTheme="minorHAnsi" w:hAnsi="Cambria" w:cs="Arial"/>
          <w:color w:val="000000" w:themeColor="text1"/>
          <w:szCs w:val="22"/>
          <w:lang w:val="en-IN"/>
        </w:rPr>
        <w:t xml:space="preserve"> services</w:t>
      </w:r>
      <w:r w:rsidR="00783AE1" w:rsidRPr="00464D77">
        <w:rPr>
          <w:rFonts w:ascii="Cambria" w:eastAsiaTheme="minorHAnsi" w:hAnsi="Cambria" w:cs="Arial"/>
          <w:color w:val="000000" w:themeColor="text1"/>
          <w:szCs w:val="22"/>
          <w:lang w:val="en-IN"/>
        </w:rPr>
        <w:t xml:space="preserve"> and </w:t>
      </w:r>
      <w:r w:rsidR="00472CBE" w:rsidRPr="00464D77">
        <w:rPr>
          <w:rFonts w:ascii="Cambria" w:eastAsiaTheme="minorHAnsi" w:hAnsi="Cambria" w:cs="Arial"/>
          <w:color w:val="000000" w:themeColor="text1"/>
          <w:szCs w:val="22"/>
          <w:lang w:val="en-IN"/>
        </w:rPr>
        <w:t>supply of spares</w:t>
      </w:r>
      <w:r w:rsidR="009C70F1" w:rsidRPr="00464D77">
        <w:rPr>
          <w:rFonts w:ascii="Cambria" w:eastAsiaTheme="minorHAnsi" w:hAnsi="Cambria" w:cs="Arial"/>
          <w:color w:val="000000" w:themeColor="text1"/>
          <w:szCs w:val="22"/>
          <w:lang w:val="en-IN"/>
        </w:rPr>
        <w:t>, chemicals</w:t>
      </w:r>
      <w:r w:rsidR="00472CBE" w:rsidRPr="00464D77">
        <w:rPr>
          <w:rFonts w:ascii="Cambria" w:eastAsiaTheme="minorHAnsi" w:hAnsi="Cambria" w:cs="Arial"/>
          <w:color w:val="000000" w:themeColor="text1"/>
          <w:szCs w:val="22"/>
          <w:lang w:val="en-IN"/>
        </w:rPr>
        <w:t xml:space="preserve"> and consumables</w:t>
      </w:r>
      <w:r w:rsidR="00783AE1" w:rsidRPr="00464D77">
        <w:rPr>
          <w:rFonts w:ascii="Cambria" w:eastAsiaTheme="minorHAnsi" w:hAnsi="Cambria" w:cs="Arial"/>
          <w:color w:val="000000" w:themeColor="text1"/>
          <w:szCs w:val="22"/>
          <w:lang w:val="en-IN"/>
        </w:rPr>
        <w:t>. Services will be mobilized as per well intervention planned</w:t>
      </w:r>
      <w:r w:rsidR="00C5452B" w:rsidRPr="00464D77">
        <w:rPr>
          <w:rFonts w:ascii="Cambria" w:eastAsiaTheme="minorHAnsi" w:hAnsi="Cambria" w:cs="Arial"/>
          <w:color w:val="000000" w:themeColor="text1"/>
          <w:szCs w:val="22"/>
          <w:lang w:val="en-IN"/>
        </w:rPr>
        <w:t xml:space="preserve"> from Cairn technical team as per long term planning. </w:t>
      </w:r>
      <w:r w:rsidR="00783AE1" w:rsidRPr="00464D77">
        <w:rPr>
          <w:rFonts w:ascii="Cambria" w:eastAsiaTheme="minorHAnsi" w:hAnsi="Cambria" w:cs="Arial"/>
          <w:color w:val="000000" w:themeColor="text1"/>
          <w:szCs w:val="22"/>
          <w:lang w:val="en-IN"/>
        </w:rPr>
        <w:t xml:space="preserve">Formal day to day </w:t>
      </w:r>
      <w:r w:rsidR="00C5452B" w:rsidRPr="00464D77">
        <w:rPr>
          <w:rFonts w:ascii="Cambria" w:eastAsiaTheme="minorHAnsi" w:hAnsi="Cambria" w:cs="Arial"/>
          <w:color w:val="000000" w:themeColor="text1"/>
          <w:szCs w:val="22"/>
          <w:lang w:val="en-IN"/>
        </w:rPr>
        <w:t>activities will be planned by Cairn technical team</w:t>
      </w:r>
      <w:r w:rsidR="00D7708B" w:rsidRPr="00464D77">
        <w:rPr>
          <w:rFonts w:ascii="Cambria" w:eastAsiaTheme="minorHAnsi" w:hAnsi="Cambria" w:cs="Arial"/>
          <w:color w:val="000000" w:themeColor="text1"/>
          <w:szCs w:val="22"/>
          <w:lang w:val="en-IN"/>
        </w:rPr>
        <w:t xml:space="preserve"> for routine and non-routine well activities</w:t>
      </w:r>
      <w:r w:rsidR="00C5452B" w:rsidRPr="00464D77">
        <w:rPr>
          <w:rFonts w:ascii="Cambria" w:eastAsiaTheme="minorHAnsi" w:hAnsi="Cambria" w:cs="Arial"/>
          <w:color w:val="000000" w:themeColor="text1"/>
          <w:szCs w:val="22"/>
          <w:lang w:val="en-IN"/>
        </w:rPr>
        <w:t xml:space="preserve"> and contractor will work as per the plan</w:t>
      </w:r>
      <w:r w:rsidR="00D7708B" w:rsidRPr="00464D77">
        <w:rPr>
          <w:rFonts w:ascii="Cambria" w:eastAsiaTheme="minorHAnsi" w:hAnsi="Cambria" w:cs="Arial"/>
          <w:color w:val="000000" w:themeColor="text1"/>
          <w:szCs w:val="22"/>
          <w:lang w:val="en-IN"/>
        </w:rPr>
        <w:t xml:space="preserve"> intimated by Cairn technical team</w:t>
      </w:r>
      <w:r w:rsidR="00C5452B" w:rsidRPr="00464D77">
        <w:rPr>
          <w:rFonts w:ascii="Cambria" w:eastAsiaTheme="minorHAnsi" w:hAnsi="Cambria" w:cs="Arial"/>
          <w:color w:val="000000" w:themeColor="text1"/>
          <w:szCs w:val="22"/>
          <w:lang w:val="en-IN"/>
        </w:rPr>
        <w:t xml:space="preserve">. </w:t>
      </w:r>
      <w:r w:rsidR="004954FC" w:rsidRPr="00464D77">
        <w:rPr>
          <w:rFonts w:ascii="Cambria" w:eastAsiaTheme="minorHAnsi" w:hAnsi="Cambria" w:cs="Arial"/>
          <w:color w:val="000000" w:themeColor="text1"/>
          <w:szCs w:val="22"/>
          <w:lang w:val="en-IN"/>
        </w:rPr>
        <w:t xml:space="preserve">A brief list of the key services </w:t>
      </w:r>
      <w:proofErr w:type="gramStart"/>
      <w:r w:rsidR="004954FC" w:rsidRPr="00464D77">
        <w:rPr>
          <w:rFonts w:ascii="Cambria" w:eastAsiaTheme="minorHAnsi" w:hAnsi="Cambria" w:cs="Arial"/>
          <w:color w:val="000000" w:themeColor="text1"/>
          <w:szCs w:val="22"/>
          <w:lang w:val="en-IN"/>
        </w:rPr>
        <w:t>are</w:t>
      </w:r>
      <w:proofErr w:type="gramEnd"/>
      <w:r w:rsidR="004954FC" w:rsidRPr="00464D77">
        <w:rPr>
          <w:rFonts w:ascii="Cambria" w:eastAsiaTheme="minorHAnsi" w:hAnsi="Cambria" w:cs="Arial"/>
          <w:color w:val="000000" w:themeColor="text1"/>
          <w:szCs w:val="22"/>
          <w:lang w:val="en-IN"/>
        </w:rPr>
        <w:t xml:space="preserve"> provided below for reference:</w:t>
      </w:r>
    </w:p>
    <w:p w14:paraId="615A87A5" w14:textId="77777777" w:rsidR="004954FC" w:rsidRPr="00464D77" w:rsidRDefault="004954FC" w:rsidP="004954FC">
      <w:pPr>
        <w:tabs>
          <w:tab w:val="left" w:pos="450"/>
        </w:tabs>
        <w:ind w:right="-360"/>
        <w:jc w:val="both"/>
        <w:rPr>
          <w:rFonts w:ascii="Cambria" w:eastAsiaTheme="minorHAnsi" w:hAnsi="Cambria" w:cs="Arial"/>
          <w:color w:val="000000" w:themeColor="text1"/>
          <w:szCs w:val="22"/>
          <w:lang w:val="en-IN"/>
        </w:rPr>
      </w:pPr>
    </w:p>
    <w:p w14:paraId="6912A5AC"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Coil tubing, pumping &amp; stimulation chemicals and services (including N2)</w:t>
      </w:r>
    </w:p>
    <w:p w14:paraId="0B6AA46F"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E-line &amp; Slickline</w:t>
      </w:r>
    </w:p>
    <w:p w14:paraId="1532EDD9"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Tractor &amp; </w:t>
      </w:r>
      <w:proofErr w:type="spellStart"/>
      <w:r w:rsidRPr="00464D77">
        <w:rPr>
          <w:rFonts w:ascii="Cambria" w:hAnsi="Cambria" w:cs="Arial"/>
          <w:color w:val="000000" w:themeColor="text1"/>
          <w:sz w:val="22"/>
        </w:rPr>
        <w:t>stroker</w:t>
      </w:r>
      <w:proofErr w:type="spellEnd"/>
      <w:r w:rsidRPr="00464D77">
        <w:rPr>
          <w:rFonts w:ascii="Cambria" w:hAnsi="Cambria" w:cs="Arial"/>
          <w:color w:val="000000" w:themeColor="text1"/>
          <w:sz w:val="22"/>
        </w:rPr>
        <w:t xml:space="preserve">  </w:t>
      </w:r>
    </w:p>
    <w:p w14:paraId="5DDB6829"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Fluid Flow back and Sand Management System, </w:t>
      </w:r>
    </w:p>
    <w:p w14:paraId="4537CDED"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lastRenderedPageBreak/>
        <w:t>Downhole Video Camera,</w:t>
      </w:r>
    </w:p>
    <w:p w14:paraId="08E3DF8F"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Gas lift valves – including supply &amp; straddle gas lift</w:t>
      </w:r>
    </w:p>
    <w:p w14:paraId="290417FD"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Isolation Patch &amp; Bridge Plugs – including supply  </w:t>
      </w:r>
    </w:p>
    <w:p w14:paraId="1D1910BD"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Pumping services (Mini Stimulation Package),  </w:t>
      </w:r>
    </w:p>
    <w:p w14:paraId="65A3F59B"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Supply and services of Non-Profile Plug,  </w:t>
      </w:r>
    </w:p>
    <w:p w14:paraId="5E121811"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Through tubing sand control </w:t>
      </w:r>
    </w:p>
    <w:p w14:paraId="77323F6E"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Wellhead preventive maintenance services</w:t>
      </w:r>
    </w:p>
    <w:p w14:paraId="5DB85772" w14:textId="77777777" w:rsidR="004954FC" w:rsidRPr="00464D77" w:rsidRDefault="004954FC" w:rsidP="004954FC">
      <w:pPr>
        <w:pStyle w:val="ListParagraph"/>
        <w:numPr>
          <w:ilvl w:val="1"/>
          <w:numId w:val="52"/>
        </w:numPr>
        <w:spacing w:after="160" w:line="252" w:lineRule="auto"/>
        <w:rPr>
          <w:rFonts w:ascii="Cambria" w:hAnsi="Cambria" w:cs="Arial"/>
          <w:color w:val="000000" w:themeColor="text1"/>
          <w:sz w:val="22"/>
        </w:rPr>
      </w:pPr>
      <w:r w:rsidRPr="00464D77">
        <w:rPr>
          <w:rFonts w:ascii="Cambria" w:hAnsi="Cambria" w:cs="Arial"/>
          <w:color w:val="000000" w:themeColor="text1"/>
          <w:sz w:val="22"/>
        </w:rPr>
        <w:t xml:space="preserve">Other </w:t>
      </w:r>
      <w:proofErr w:type="spellStart"/>
      <w:r w:rsidRPr="00464D77">
        <w:rPr>
          <w:rFonts w:ascii="Cambria" w:hAnsi="Cambria" w:cs="Arial"/>
          <w:color w:val="000000" w:themeColor="text1"/>
          <w:sz w:val="22"/>
        </w:rPr>
        <w:t>misc</w:t>
      </w:r>
      <w:proofErr w:type="spellEnd"/>
      <w:r w:rsidRPr="00464D77">
        <w:rPr>
          <w:rFonts w:ascii="Cambria" w:hAnsi="Cambria" w:cs="Arial"/>
          <w:color w:val="000000" w:themeColor="text1"/>
          <w:sz w:val="22"/>
        </w:rPr>
        <w:t xml:space="preserve"> services which will be required to support integrated PE operations in the blocks </w:t>
      </w:r>
    </w:p>
    <w:p w14:paraId="03FF8D41" w14:textId="77777777" w:rsidR="00CD06F3" w:rsidRPr="00464D77" w:rsidRDefault="00CD06F3" w:rsidP="00CD06F3">
      <w:pPr>
        <w:pStyle w:val="NormalWeb"/>
        <w:jc w:val="both"/>
        <w:rPr>
          <w:rFonts w:ascii="Cambria" w:hAnsi="Cambria" w:cs="Arial"/>
          <w:b/>
          <w:color w:val="000000" w:themeColor="text1"/>
          <w:sz w:val="22"/>
          <w:szCs w:val="22"/>
        </w:rPr>
      </w:pPr>
      <w:r w:rsidRPr="00464D77">
        <w:rPr>
          <w:rFonts w:ascii="Cambria" w:hAnsi="Cambria" w:cs="Arial"/>
          <w:b/>
          <w:color w:val="000000" w:themeColor="text1"/>
          <w:sz w:val="22"/>
          <w:szCs w:val="22"/>
        </w:rPr>
        <w:t xml:space="preserve">Interested companies </w:t>
      </w:r>
      <w:r w:rsidR="00E05C87" w:rsidRPr="00464D77">
        <w:rPr>
          <w:rFonts w:ascii="Cambria" w:hAnsi="Cambria" w:cs="Arial"/>
          <w:b/>
          <w:color w:val="000000" w:themeColor="text1"/>
          <w:sz w:val="22"/>
          <w:szCs w:val="22"/>
        </w:rPr>
        <w:t xml:space="preserve">/ consortiums </w:t>
      </w:r>
      <w:r w:rsidRPr="00464D77">
        <w:rPr>
          <w:rFonts w:ascii="Cambria" w:hAnsi="Cambria" w:cs="Arial"/>
          <w:b/>
          <w:color w:val="000000" w:themeColor="text1"/>
          <w:sz w:val="22"/>
          <w:szCs w:val="22"/>
        </w:rPr>
        <w:t>meeting following criteria should respond to this EoI:</w:t>
      </w:r>
    </w:p>
    <w:p w14:paraId="7DDAAC1C" w14:textId="77777777" w:rsidR="00DE3C60" w:rsidRPr="00464D77" w:rsidRDefault="00E05C87" w:rsidP="004954FC">
      <w:pPr>
        <w:pStyle w:val="ListParagraph"/>
        <w:numPr>
          <w:ilvl w:val="0"/>
          <w:numId w:val="46"/>
        </w:numPr>
        <w:jc w:val="both"/>
        <w:rPr>
          <w:rFonts w:ascii="Cambria" w:hAnsi="Cambria" w:cs="Arial"/>
          <w:color w:val="000000" w:themeColor="text1"/>
          <w:sz w:val="22"/>
        </w:rPr>
      </w:pPr>
      <w:r w:rsidRPr="00464D77">
        <w:rPr>
          <w:rFonts w:ascii="Cambria" w:hAnsi="Cambria" w:cs="Arial"/>
          <w:color w:val="000000" w:themeColor="text1"/>
          <w:sz w:val="22"/>
        </w:rPr>
        <w:t xml:space="preserve">Contractor shall have a minimum of 05 years (in preceding 10 years) experience in </w:t>
      </w:r>
      <w:r w:rsidR="004954FC" w:rsidRPr="00464D77">
        <w:rPr>
          <w:rFonts w:ascii="Cambria" w:hAnsi="Cambria" w:cs="Arial"/>
          <w:color w:val="000000" w:themeColor="text1"/>
          <w:sz w:val="22"/>
        </w:rPr>
        <w:t xml:space="preserve">providing similar Offshore PE services on standalone basis or as a consortium </w:t>
      </w:r>
    </w:p>
    <w:p w14:paraId="4909A289" w14:textId="77777777" w:rsidR="00CD06F3" w:rsidRPr="00464D77" w:rsidRDefault="00CD06F3" w:rsidP="004954FC">
      <w:pPr>
        <w:pStyle w:val="ListParagraph"/>
        <w:numPr>
          <w:ilvl w:val="0"/>
          <w:numId w:val="46"/>
        </w:numPr>
        <w:jc w:val="both"/>
        <w:rPr>
          <w:rFonts w:ascii="Cambria" w:hAnsi="Cambria" w:cs="Arial"/>
          <w:color w:val="000000" w:themeColor="text1"/>
          <w:sz w:val="22"/>
        </w:rPr>
      </w:pPr>
      <w:r w:rsidRPr="00464D77">
        <w:rPr>
          <w:rFonts w:ascii="Cambria" w:hAnsi="Cambria" w:cs="Arial"/>
          <w:color w:val="000000" w:themeColor="text1"/>
          <w:sz w:val="22"/>
        </w:rPr>
        <w:t>Turnover in each of the immediately preceding two financial years should be equal to or more than the estimated</w:t>
      </w:r>
      <w:r w:rsidR="00E92EED" w:rsidRPr="00464D77">
        <w:rPr>
          <w:rFonts w:ascii="Cambria" w:hAnsi="Cambria" w:cs="Arial"/>
          <w:color w:val="000000" w:themeColor="text1"/>
          <w:sz w:val="22"/>
        </w:rPr>
        <w:t xml:space="preserve"> average</w:t>
      </w:r>
      <w:r w:rsidRPr="00464D77">
        <w:rPr>
          <w:rFonts w:ascii="Cambria" w:hAnsi="Cambria" w:cs="Arial"/>
          <w:color w:val="000000" w:themeColor="text1"/>
          <w:sz w:val="22"/>
        </w:rPr>
        <w:t xml:space="preserve"> annual contract value. </w:t>
      </w:r>
    </w:p>
    <w:p w14:paraId="11AD3F0F" w14:textId="77777777" w:rsidR="00CD06F3" w:rsidRPr="00464D77" w:rsidRDefault="00CD06F3" w:rsidP="00CD06F3">
      <w:pPr>
        <w:pStyle w:val="ListParagraph"/>
        <w:numPr>
          <w:ilvl w:val="0"/>
          <w:numId w:val="46"/>
        </w:numPr>
        <w:jc w:val="both"/>
        <w:rPr>
          <w:rFonts w:ascii="Cambria" w:hAnsi="Cambria" w:cs="Arial"/>
          <w:color w:val="000000" w:themeColor="text1"/>
          <w:sz w:val="22"/>
        </w:rPr>
      </w:pPr>
      <w:r w:rsidRPr="00464D77">
        <w:rPr>
          <w:rFonts w:ascii="Cambria" w:hAnsi="Cambria" w:cs="Arial"/>
          <w:color w:val="000000" w:themeColor="text1"/>
          <w:sz w:val="22"/>
        </w:rPr>
        <w:t>Positive net worth in each of the immediately preceding two financial years.</w:t>
      </w:r>
    </w:p>
    <w:p w14:paraId="3E58DB65" w14:textId="77777777" w:rsidR="00CD06F3" w:rsidRPr="00464D77" w:rsidRDefault="00CD06F3" w:rsidP="00CD06F3">
      <w:pPr>
        <w:pStyle w:val="ListParagraph"/>
        <w:numPr>
          <w:ilvl w:val="0"/>
          <w:numId w:val="46"/>
        </w:numPr>
        <w:autoSpaceDE w:val="0"/>
        <w:autoSpaceDN w:val="0"/>
        <w:adjustRightInd w:val="0"/>
        <w:spacing w:after="0" w:line="240" w:lineRule="auto"/>
        <w:jc w:val="both"/>
        <w:rPr>
          <w:rFonts w:ascii="Cambria" w:hAnsi="Cambria" w:cs="Arial"/>
          <w:color w:val="000000" w:themeColor="text1"/>
          <w:sz w:val="22"/>
        </w:rPr>
      </w:pPr>
      <w:r w:rsidRPr="00464D77">
        <w:rPr>
          <w:rFonts w:ascii="Cambria" w:hAnsi="Cambria" w:cs="Arial"/>
          <w:color w:val="000000" w:themeColor="text1"/>
          <w:sz w:val="22"/>
        </w:rPr>
        <w:t>Liquidity ratio</w:t>
      </w:r>
      <w:r w:rsidR="00830258" w:rsidRPr="00464D77">
        <w:rPr>
          <w:rFonts w:ascii="Cambria" w:hAnsi="Cambria" w:cs="Arial"/>
          <w:color w:val="000000" w:themeColor="text1"/>
          <w:sz w:val="22"/>
        </w:rPr>
        <w:t xml:space="preserve"> shall not be less than 1</w:t>
      </w:r>
      <w:r w:rsidRPr="00464D77">
        <w:rPr>
          <w:rFonts w:ascii="Cambria" w:hAnsi="Cambria" w:cs="Arial"/>
          <w:color w:val="000000" w:themeColor="text1"/>
          <w:sz w:val="22"/>
        </w:rPr>
        <w:t xml:space="preserve"> in each of the preceding Two (02) financial years.</w:t>
      </w:r>
    </w:p>
    <w:p w14:paraId="71E58D53" w14:textId="77777777" w:rsidR="00E05C87" w:rsidRPr="00464D77" w:rsidRDefault="00E05C87" w:rsidP="00E05C87">
      <w:pPr>
        <w:autoSpaceDE w:val="0"/>
        <w:autoSpaceDN w:val="0"/>
        <w:adjustRightInd w:val="0"/>
        <w:jc w:val="both"/>
        <w:rPr>
          <w:rFonts w:ascii="Cambria" w:hAnsi="Cambria" w:cs="Arial"/>
          <w:color w:val="000000" w:themeColor="text1"/>
          <w:szCs w:val="22"/>
        </w:rPr>
      </w:pPr>
    </w:p>
    <w:p w14:paraId="0E6BAEFA" w14:textId="77777777" w:rsidR="00E05C87" w:rsidRPr="00464D77" w:rsidRDefault="00E05C87" w:rsidP="00E05C87">
      <w:pPr>
        <w:autoSpaceDE w:val="0"/>
        <w:autoSpaceDN w:val="0"/>
        <w:adjustRightInd w:val="0"/>
        <w:jc w:val="both"/>
        <w:rPr>
          <w:rFonts w:ascii="Cambria" w:hAnsi="Cambria" w:cs="Arial"/>
          <w:color w:val="000000" w:themeColor="text1"/>
          <w:szCs w:val="22"/>
        </w:rPr>
      </w:pPr>
      <w:r w:rsidRPr="00464D77">
        <w:rPr>
          <w:rFonts w:ascii="Cambria" w:hAnsi="Cambria" w:cs="Arial"/>
          <w:color w:val="000000" w:themeColor="text1"/>
          <w:szCs w:val="22"/>
        </w:rPr>
        <w:t xml:space="preserve">Participants to clearly mention if interested to participate in tender for </w:t>
      </w:r>
    </w:p>
    <w:p w14:paraId="5424702E" w14:textId="77777777" w:rsidR="00E05C87" w:rsidRPr="00464D77" w:rsidRDefault="004954FC" w:rsidP="005A2537">
      <w:pPr>
        <w:pStyle w:val="ListParagraph"/>
        <w:numPr>
          <w:ilvl w:val="0"/>
          <w:numId w:val="51"/>
        </w:numPr>
        <w:autoSpaceDE w:val="0"/>
        <w:autoSpaceDN w:val="0"/>
        <w:adjustRightInd w:val="0"/>
        <w:jc w:val="both"/>
        <w:rPr>
          <w:rFonts w:ascii="Cambria" w:hAnsi="Cambria" w:cs="Arial"/>
          <w:color w:val="000000" w:themeColor="text1"/>
          <w:sz w:val="22"/>
        </w:rPr>
      </w:pPr>
      <w:r w:rsidRPr="00464D77">
        <w:rPr>
          <w:rFonts w:ascii="Cambria" w:hAnsi="Cambria" w:cs="Arial"/>
          <w:color w:val="000000" w:themeColor="text1"/>
          <w:sz w:val="22"/>
        </w:rPr>
        <w:t xml:space="preserve">Ravva Block </w:t>
      </w:r>
    </w:p>
    <w:p w14:paraId="14F079DE" w14:textId="77777777" w:rsidR="00E05C87" w:rsidRPr="00464D77" w:rsidRDefault="004954FC" w:rsidP="00E05C87">
      <w:pPr>
        <w:pStyle w:val="ListParagraph"/>
        <w:numPr>
          <w:ilvl w:val="0"/>
          <w:numId w:val="51"/>
        </w:numPr>
        <w:autoSpaceDE w:val="0"/>
        <w:autoSpaceDN w:val="0"/>
        <w:adjustRightInd w:val="0"/>
        <w:jc w:val="both"/>
        <w:rPr>
          <w:rFonts w:ascii="Cambria" w:hAnsi="Cambria" w:cs="Arial"/>
          <w:color w:val="000000" w:themeColor="text1"/>
          <w:sz w:val="22"/>
        </w:rPr>
      </w:pPr>
      <w:r w:rsidRPr="00464D77">
        <w:rPr>
          <w:rFonts w:ascii="Cambria" w:hAnsi="Cambria" w:cs="Arial"/>
          <w:color w:val="000000" w:themeColor="text1"/>
          <w:sz w:val="22"/>
        </w:rPr>
        <w:t>CB-OS/2 Block</w:t>
      </w:r>
      <w:r w:rsidR="00E05C87" w:rsidRPr="00464D77">
        <w:rPr>
          <w:rFonts w:ascii="Cambria" w:hAnsi="Cambria" w:cs="Arial"/>
          <w:color w:val="000000" w:themeColor="text1"/>
          <w:sz w:val="22"/>
        </w:rPr>
        <w:t xml:space="preserve">; or </w:t>
      </w:r>
    </w:p>
    <w:p w14:paraId="687FF55D" w14:textId="77777777" w:rsidR="00C82C7A" w:rsidRPr="00464D77" w:rsidRDefault="00E05C87" w:rsidP="005A2537">
      <w:pPr>
        <w:pStyle w:val="ListParagraph"/>
        <w:numPr>
          <w:ilvl w:val="0"/>
          <w:numId w:val="51"/>
        </w:numPr>
        <w:autoSpaceDE w:val="0"/>
        <w:autoSpaceDN w:val="0"/>
        <w:adjustRightInd w:val="0"/>
        <w:jc w:val="both"/>
        <w:rPr>
          <w:rFonts w:ascii="Cambria" w:hAnsi="Cambria" w:cs="Arial"/>
          <w:color w:val="000000" w:themeColor="text1"/>
          <w:sz w:val="22"/>
        </w:rPr>
      </w:pPr>
      <w:r w:rsidRPr="00464D77">
        <w:rPr>
          <w:rFonts w:ascii="Cambria" w:hAnsi="Cambria" w:cs="Arial"/>
          <w:color w:val="000000" w:themeColor="text1"/>
          <w:sz w:val="22"/>
        </w:rPr>
        <w:t>Both (</w:t>
      </w:r>
      <w:proofErr w:type="spellStart"/>
      <w:r w:rsidRPr="00464D77">
        <w:rPr>
          <w:rFonts w:ascii="Cambria" w:hAnsi="Cambria" w:cs="Arial"/>
          <w:color w:val="000000" w:themeColor="text1"/>
          <w:sz w:val="22"/>
        </w:rPr>
        <w:t>i</w:t>
      </w:r>
      <w:proofErr w:type="spellEnd"/>
      <w:r w:rsidRPr="00464D77">
        <w:rPr>
          <w:rFonts w:ascii="Cambria" w:hAnsi="Cambria" w:cs="Arial"/>
          <w:color w:val="000000" w:themeColor="text1"/>
          <w:sz w:val="22"/>
        </w:rPr>
        <w:t>) &amp; (ii)</w:t>
      </w:r>
    </w:p>
    <w:p w14:paraId="0FF4E813" w14:textId="77777777" w:rsidR="00A50297" w:rsidRPr="00464D77" w:rsidRDefault="00A50297" w:rsidP="006E1FDF">
      <w:pPr>
        <w:pStyle w:val="ListParagraph"/>
        <w:autoSpaceDE w:val="0"/>
        <w:autoSpaceDN w:val="0"/>
        <w:adjustRightInd w:val="0"/>
        <w:spacing w:after="0" w:line="240" w:lineRule="auto"/>
        <w:jc w:val="both"/>
        <w:rPr>
          <w:rFonts w:ascii="Cambria" w:hAnsi="Cambria" w:cs="Arial"/>
          <w:color w:val="000000" w:themeColor="text1"/>
          <w:sz w:val="22"/>
        </w:rPr>
      </w:pPr>
    </w:p>
    <w:p w14:paraId="4177DAF9" w14:textId="77777777" w:rsidR="004E2543" w:rsidRPr="00464D77" w:rsidRDefault="004525E8" w:rsidP="00AE689C">
      <w:pPr>
        <w:autoSpaceDE w:val="0"/>
        <w:autoSpaceDN w:val="0"/>
        <w:adjustRightInd w:val="0"/>
        <w:jc w:val="both"/>
        <w:rPr>
          <w:rFonts w:ascii="Cambria" w:hAnsi="Cambria" w:cs="Arial"/>
          <w:b/>
          <w:color w:val="000000" w:themeColor="text1"/>
          <w:szCs w:val="22"/>
        </w:rPr>
      </w:pPr>
      <w:r w:rsidRPr="00464D77">
        <w:rPr>
          <w:rFonts w:ascii="Cambria" w:hAnsi="Cambria" w:cs="Arial"/>
          <w:b/>
          <w:color w:val="000000" w:themeColor="text1"/>
          <w:szCs w:val="22"/>
        </w:rPr>
        <w:t>Participant</w:t>
      </w:r>
      <w:r w:rsidR="00FE46DD" w:rsidRPr="00464D77">
        <w:rPr>
          <w:rFonts w:ascii="Cambria" w:hAnsi="Cambria" w:cs="Arial"/>
          <w:b/>
          <w:color w:val="000000" w:themeColor="text1"/>
          <w:szCs w:val="22"/>
        </w:rPr>
        <w:t>s are</w:t>
      </w:r>
      <w:r w:rsidR="004E2543" w:rsidRPr="00464D77">
        <w:rPr>
          <w:rFonts w:ascii="Cambria" w:hAnsi="Cambria" w:cs="Arial"/>
          <w:b/>
          <w:color w:val="000000" w:themeColor="text1"/>
          <w:szCs w:val="22"/>
        </w:rPr>
        <w:t xml:space="preserve"> requested to submit the following </w:t>
      </w:r>
      <w:r w:rsidR="00FF2278" w:rsidRPr="00464D77">
        <w:rPr>
          <w:rFonts w:ascii="Cambria" w:hAnsi="Cambria" w:cs="Arial"/>
          <w:b/>
          <w:color w:val="000000" w:themeColor="text1"/>
          <w:szCs w:val="22"/>
        </w:rPr>
        <w:t xml:space="preserve">pre-qualification </w:t>
      </w:r>
      <w:r w:rsidR="00FE46DD" w:rsidRPr="00464D77">
        <w:rPr>
          <w:rFonts w:ascii="Cambria" w:hAnsi="Cambria" w:cs="Arial"/>
          <w:b/>
          <w:color w:val="000000" w:themeColor="text1"/>
          <w:szCs w:val="22"/>
        </w:rPr>
        <w:t>documents</w:t>
      </w:r>
      <w:r w:rsidR="00671072" w:rsidRPr="00464D77">
        <w:rPr>
          <w:rFonts w:ascii="Cambria" w:hAnsi="Cambria" w:cs="Arial"/>
          <w:b/>
          <w:color w:val="000000" w:themeColor="text1"/>
          <w:szCs w:val="22"/>
        </w:rPr>
        <w:t xml:space="preserve"> as a minimum:</w:t>
      </w:r>
    </w:p>
    <w:p w14:paraId="2E185388" w14:textId="77777777" w:rsidR="004E2543" w:rsidRPr="00464D77" w:rsidRDefault="004E2543" w:rsidP="00AE689C">
      <w:pPr>
        <w:autoSpaceDE w:val="0"/>
        <w:autoSpaceDN w:val="0"/>
        <w:adjustRightInd w:val="0"/>
        <w:ind w:left="720"/>
        <w:jc w:val="both"/>
        <w:rPr>
          <w:rFonts w:ascii="Cambria" w:hAnsi="Cambria" w:cs="Arial"/>
          <w:b/>
          <w:color w:val="000000" w:themeColor="text1"/>
          <w:szCs w:val="22"/>
        </w:rPr>
      </w:pPr>
    </w:p>
    <w:p w14:paraId="76495069" w14:textId="77777777" w:rsidR="004A0241" w:rsidRPr="00464D77" w:rsidRDefault="00E36589"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Letter of interest clearly indicating the project reference</w:t>
      </w:r>
      <w:r w:rsidR="0099700F" w:rsidRPr="00464D77">
        <w:rPr>
          <w:rFonts w:ascii="Cambria" w:hAnsi="Cambria" w:cs="Arial"/>
          <w:color w:val="000000" w:themeColor="text1"/>
          <w:sz w:val="22"/>
        </w:rPr>
        <w:t xml:space="preserve"> and </w:t>
      </w:r>
      <w:r w:rsidR="002E061C" w:rsidRPr="00464D77">
        <w:rPr>
          <w:rFonts w:ascii="Cambria" w:hAnsi="Cambria" w:cs="Arial"/>
          <w:color w:val="000000" w:themeColor="text1"/>
          <w:sz w:val="22"/>
        </w:rPr>
        <w:t>detailed company organizational structure / information.</w:t>
      </w:r>
    </w:p>
    <w:p w14:paraId="759EBB56" w14:textId="77777777" w:rsidR="00E36589"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 xml:space="preserve">Details of similar </w:t>
      </w:r>
      <w:r w:rsidR="004954FC" w:rsidRPr="00464D77">
        <w:rPr>
          <w:rFonts w:ascii="Cambria" w:hAnsi="Cambria" w:cs="Arial"/>
          <w:color w:val="000000" w:themeColor="text1"/>
          <w:sz w:val="22"/>
        </w:rPr>
        <w:t xml:space="preserve">Offshore PE services </w:t>
      </w:r>
      <w:r w:rsidRPr="00464D77">
        <w:rPr>
          <w:rFonts w:ascii="Cambria" w:hAnsi="Cambria" w:cs="Arial"/>
          <w:color w:val="000000" w:themeColor="text1"/>
          <w:sz w:val="22"/>
        </w:rPr>
        <w:t xml:space="preserve">executed in the last </w:t>
      </w:r>
      <w:r w:rsidR="003E6D1B" w:rsidRPr="00464D77">
        <w:rPr>
          <w:rFonts w:ascii="Cambria" w:hAnsi="Cambria" w:cs="Arial"/>
          <w:color w:val="000000" w:themeColor="text1"/>
          <w:sz w:val="22"/>
        </w:rPr>
        <w:t xml:space="preserve">10 </w:t>
      </w:r>
      <w:r w:rsidR="000477A4" w:rsidRPr="00464D77">
        <w:rPr>
          <w:rFonts w:ascii="Cambria" w:hAnsi="Cambria" w:cs="Arial"/>
          <w:color w:val="000000" w:themeColor="text1"/>
          <w:sz w:val="22"/>
        </w:rPr>
        <w:t xml:space="preserve">years </w:t>
      </w:r>
      <w:r w:rsidRPr="00464D77">
        <w:rPr>
          <w:rFonts w:ascii="Cambria" w:hAnsi="Cambria" w:cs="Arial"/>
          <w:color w:val="000000" w:themeColor="text1"/>
          <w:sz w:val="22"/>
        </w:rPr>
        <w:t xml:space="preserve">and those of currently under execution along with details of total executed project cost. </w:t>
      </w:r>
      <w:r w:rsidR="00E36589" w:rsidRPr="00464D77">
        <w:rPr>
          <w:rFonts w:ascii="Cambria" w:hAnsi="Cambria" w:cs="Arial"/>
          <w:color w:val="000000" w:themeColor="text1"/>
          <w:sz w:val="22"/>
        </w:rPr>
        <w:t>Details of completion of similar t</w:t>
      </w:r>
      <w:r w:rsidR="00705763" w:rsidRPr="00464D77">
        <w:rPr>
          <w:rFonts w:ascii="Cambria" w:hAnsi="Cambria" w:cs="Arial"/>
          <w:color w:val="000000" w:themeColor="text1"/>
          <w:sz w:val="22"/>
        </w:rPr>
        <w:t>ype of projects in the last</w:t>
      </w:r>
      <w:r w:rsidR="00CD06F3" w:rsidRPr="00464D77">
        <w:rPr>
          <w:rFonts w:ascii="Cambria" w:hAnsi="Cambria" w:cs="Arial"/>
          <w:color w:val="000000" w:themeColor="text1"/>
          <w:sz w:val="22"/>
        </w:rPr>
        <w:t xml:space="preserve"> </w:t>
      </w:r>
      <w:r w:rsidR="003E6D1B" w:rsidRPr="00464D77">
        <w:rPr>
          <w:rFonts w:ascii="Cambria" w:hAnsi="Cambria" w:cs="Arial"/>
          <w:color w:val="000000" w:themeColor="text1"/>
          <w:sz w:val="22"/>
        </w:rPr>
        <w:t>10</w:t>
      </w:r>
      <w:r w:rsidR="00C2419A" w:rsidRPr="00464D77">
        <w:rPr>
          <w:rFonts w:ascii="Cambria" w:hAnsi="Cambria" w:cs="Arial"/>
          <w:color w:val="000000" w:themeColor="text1"/>
          <w:sz w:val="22"/>
        </w:rPr>
        <w:t>years</w:t>
      </w:r>
      <w:r w:rsidR="00C2419A" w:rsidRPr="00464D77">
        <w:rPr>
          <w:rFonts w:ascii="Cambria" w:hAnsi="Cambria" w:cs="Arial"/>
          <w:b/>
          <w:color w:val="000000" w:themeColor="text1"/>
          <w:sz w:val="22"/>
        </w:rPr>
        <w:t xml:space="preserve"> </w:t>
      </w:r>
      <w:r w:rsidR="00E36589" w:rsidRPr="00464D77">
        <w:rPr>
          <w:rFonts w:ascii="Cambria" w:hAnsi="Cambria" w:cs="Arial"/>
          <w:color w:val="000000" w:themeColor="text1"/>
          <w:sz w:val="22"/>
        </w:rPr>
        <w:t>under heading:</w:t>
      </w:r>
    </w:p>
    <w:p w14:paraId="6585C15C" w14:textId="77777777" w:rsidR="007156F0" w:rsidRPr="00464D77" w:rsidRDefault="00E36589" w:rsidP="00301D80">
      <w:pPr>
        <w:pStyle w:val="ListParagraph"/>
        <w:jc w:val="both"/>
        <w:rPr>
          <w:rFonts w:ascii="Cambria" w:hAnsi="Cambria" w:cs="Arial"/>
          <w:color w:val="000000" w:themeColor="text1"/>
          <w:sz w:val="22"/>
        </w:rPr>
      </w:pPr>
      <w:r w:rsidRPr="00464D77">
        <w:rPr>
          <w:rFonts w:ascii="Cambria" w:hAnsi="Cambria" w:cs="Arial"/>
          <w:color w:val="000000" w:themeColor="text1"/>
          <w:sz w:val="22"/>
        </w:rPr>
        <w:t>a) Brief scope of work b) Value of work in INR</w:t>
      </w:r>
      <w:r w:rsidR="005B3F07" w:rsidRPr="00464D77">
        <w:rPr>
          <w:rFonts w:ascii="Cambria" w:hAnsi="Cambria" w:cs="Arial"/>
          <w:color w:val="000000" w:themeColor="text1"/>
          <w:sz w:val="22"/>
        </w:rPr>
        <w:t>/USD</w:t>
      </w:r>
      <w:r w:rsidRPr="00464D77">
        <w:rPr>
          <w:rFonts w:ascii="Cambria" w:hAnsi="Cambria" w:cs="Arial"/>
          <w:color w:val="000000" w:themeColor="text1"/>
          <w:sz w:val="22"/>
        </w:rPr>
        <w:t xml:space="preserve"> c) Contractual Duration d) Actual completion of Project</w:t>
      </w:r>
      <w:r w:rsidR="00382B0E" w:rsidRPr="00464D77">
        <w:rPr>
          <w:rFonts w:ascii="Cambria" w:hAnsi="Cambria" w:cs="Arial"/>
          <w:color w:val="000000" w:themeColor="text1"/>
          <w:sz w:val="22"/>
        </w:rPr>
        <w:t xml:space="preserve">, </w:t>
      </w:r>
      <w:r w:rsidRPr="00464D77">
        <w:rPr>
          <w:rFonts w:ascii="Cambria" w:hAnsi="Cambria" w:cs="Arial"/>
          <w:color w:val="000000" w:themeColor="text1"/>
          <w:sz w:val="22"/>
        </w:rPr>
        <w:t>e) Clients name</w:t>
      </w:r>
      <w:r w:rsidR="007156F0" w:rsidRPr="00464D77">
        <w:rPr>
          <w:rFonts w:ascii="Cambria" w:hAnsi="Cambria" w:cs="Arial"/>
          <w:color w:val="000000" w:themeColor="text1"/>
          <w:sz w:val="22"/>
        </w:rPr>
        <w:t xml:space="preserve"> f) </w:t>
      </w:r>
      <w:r w:rsidR="005C577A" w:rsidRPr="00464D77">
        <w:rPr>
          <w:rFonts w:ascii="Cambria" w:hAnsi="Cambria" w:cs="Arial"/>
          <w:color w:val="000000" w:themeColor="text1"/>
          <w:sz w:val="22"/>
        </w:rPr>
        <w:t>Contact details of the Client (</w:t>
      </w:r>
      <w:r w:rsidR="00663DE9" w:rsidRPr="00464D77">
        <w:rPr>
          <w:rFonts w:ascii="Cambria" w:hAnsi="Cambria" w:cs="Arial"/>
          <w:color w:val="000000" w:themeColor="text1"/>
          <w:sz w:val="22"/>
        </w:rPr>
        <w:t xml:space="preserve">Operator </w:t>
      </w:r>
      <w:r w:rsidR="007156F0" w:rsidRPr="00464D77">
        <w:rPr>
          <w:rFonts w:ascii="Cambria" w:hAnsi="Cambria" w:cs="Arial"/>
          <w:color w:val="000000" w:themeColor="text1"/>
          <w:sz w:val="22"/>
        </w:rPr>
        <w:t>may approach the client directly for the feedback)</w:t>
      </w:r>
      <w:r w:rsidR="00C87AAD" w:rsidRPr="00464D77">
        <w:rPr>
          <w:rFonts w:ascii="Cambria" w:hAnsi="Cambria" w:cs="Arial"/>
          <w:color w:val="000000" w:themeColor="text1"/>
          <w:sz w:val="22"/>
        </w:rPr>
        <w:t xml:space="preserve"> </w:t>
      </w:r>
      <w:r w:rsidR="00F4444C" w:rsidRPr="00464D77">
        <w:rPr>
          <w:rFonts w:ascii="Cambria" w:hAnsi="Cambria" w:cs="Arial"/>
          <w:color w:val="000000" w:themeColor="text1"/>
          <w:sz w:val="22"/>
        </w:rPr>
        <w:t>g</w:t>
      </w:r>
      <w:r w:rsidR="007156F0" w:rsidRPr="00464D77">
        <w:rPr>
          <w:rFonts w:ascii="Cambria" w:hAnsi="Cambria" w:cs="Arial"/>
          <w:color w:val="000000" w:themeColor="text1"/>
          <w:sz w:val="22"/>
        </w:rPr>
        <w:t>) HSE statistics, LTI graph etc.</w:t>
      </w:r>
    </w:p>
    <w:p w14:paraId="5757CEA5" w14:textId="77777777" w:rsidR="002E061C"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 xml:space="preserve">Completion certificate along with copy of work order/ project details (stating scope of work, project value, commencement date, completion date, and location of work) must also be provided. </w:t>
      </w:r>
    </w:p>
    <w:p w14:paraId="5E9F832E" w14:textId="77777777" w:rsidR="002E061C"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Detailed Project planning and Execution methodology.</w:t>
      </w:r>
    </w:p>
    <w:p w14:paraId="2878637D" w14:textId="77777777" w:rsidR="002E061C"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Details of Key Members who shall be involved in the Project execution including their experience levels.</w:t>
      </w:r>
    </w:p>
    <w:p w14:paraId="2D8D7BD7" w14:textId="77777777" w:rsidR="00E05C87"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 xml:space="preserve">Details of Equipment owned by the company </w:t>
      </w:r>
      <w:r w:rsidR="00A3448C" w:rsidRPr="00464D77">
        <w:rPr>
          <w:rFonts w:ascii="Cambria" w:hAnsi="Cambria" w:cs="Arial"/>
          <w:color w:val="000000" w:themeColor="text1"/>
          <w:sz w:val="22"/>
        </w:rPr>
        <w:t xml:space="preserve">&amp; supply chain capability to source spares and consumables </w:t>
      </w:r>
      <w:r w:rsidRPr="00464D77">
        <w:rPr>
          <w:rFonts w:ascii="Cambria" w:hAnsi="Cambria" w:cs="Arial"/>
          <w:color w:val="000000" w:themeColor="text1"/>
          <w:sz w:val="22"/>
        </w:rPr>
        <w:t>relevant to execution of advertised contract.</w:t>
      </w:r>
      <w:r w:rsidR="00DB4581" w:rsidRPr="00464D77">
        <w:rPr>
          <w:rFonts w:ascii="Cambria" w:hAnsi="Cambria" w:cs="Arial"/>
          <w:color w:val="000000" w:themeColor="text1"/>
          <w:sz w:val="22"/>
        </w:rPr>
        <w:t xml:space="preserve"> </w:t>
      </w:r>
    </w:p>
    <w:p w14:paraId="27D4C13F" w14:textId="77777777" w:rsidR="00301D80" w:rsidRPr="00464D77" w:rsidRDefault="00C85BA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Quality assurance &amp; quality control practices currently in place for the execution of similar work.</w:t>
      </w:r>
    </w:p>
    <w:p w14:paraId="28065512" w14:textId="77777777" w:rsidR="002E061C"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List of policies, procedures</w:t>
      </w:r>
      <w:r w:rsidR="00C2419A" w:rsidRPr="00464D77">
        <w:rPr>
          <w:rFonts w:ascii="Cambria" w:hAnsi="Cambria" w:cs="Arial"/>
          <w:color w:val="000000" w:themeColor="text1"/>
          <w:sz w:val="22"/>
        </w:rPr>
        <w:t>, emergency management system</w:t>
      </w:r>
      <w:r w:rsidRPr="00464D77">
        <w:rPr>
          <w:rFonts w:ascii="Cambria" w:hAnsi="Cambria" w:cs="Arial"/>
          <w:color w:val="000000" w:themeColor="text1"/>
          <w:sz w:val="22"/>
        </w:rPr>
        <w:t xml:space="preserve"> and quality assurance practices currently in place for the execution of similar work.</w:t>
      </w:r>
    </w:p>
    <w:p w14:paraId="15FA5C72" w14:textId="77777777" w:rsidR="002E061C" w:rsidRPr="00464D77" w:rsidRDefault="002E061C"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HSE Management Systems, Policies and supporting documentation demonstrating compliance to HSSEQ questionnaire.</w:t>
      </w:r>
    </w:p>
    <w:p w14:paraId="40B95123" w14:textId="77777777" w:rsidR="00280619" w:rsidRPr="00464D77" w:rsidRDefault="00280619"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t xml:space="preserve">Statutory Compliance Management System with supporting documentation demonstrating </w:t>
      </w:r>
      <w:r w:rsidR="006E1FDF" w:rsidRPr="00464D77">
        <w:rPr>
          <w:rFonts w:ascii="Cambria" w:hAnsi="Cambria" w:cs="Arial"/>
          <w:color w:val="000000" w:themeColor="text1"/>
          <w:sz w:val="22"/>
        </w:rPr>
        <w:t xml:space="preserve">compliance to </w:t>
      </w:r>
      <w:r w:rsidRPr="00464D77">
        <w:rPr>
          <w:rFonts w:ascii="Cambria" w:hAnsi="Cambria" w:cs="Arial"/>
          <w:color w:val="000000" w:themeColor="text1"/>
          <w:sz w:val="22"/>
        </w:rPr>
        <w:t xml:space="preserve">all applicable rules and regulations in operating Boilers, </w:t>
      </w:r>
      <w:r w:rsidR="00AE0528" w:rsidRPr="00464D77">
        <w:rPr>
          <w:rFonts w:ascii="Cambria" w:hAnsi="Cambria" w:cs="Arial"/>
          <w:color w:val="000000" w:themeColor="text1"/>
          <w:sz w:val="22"/>
        </w:rPr>
        <w:t xml:space="preserve">IBR, DGMS, CEA regulations, Grid code and as applicable to </w:t>
      </w:r>
      <w:r w:rsidRPr="00464D77">
        <w:rPr>
          <w:rFonts w:ascii="Cambria" w:hAnsi="Cambria" w:cs="Arial"/>
          <w:color w:val="000000" w:themeColor="text1"/>
          <w:sz w:val="22"/>
        </w:rPr>
        <w:t xml:space="preserve">HV/LV Electrical Systems, Fire and </w:t>
      </w:r>
      <w:r w:rsidR="00501758" w:rsidRPr="00464D77">
        <w:rPr>
          <w:rFonts w:ascii="Cambria" w:hAnsi="Cambria" w:cs="Arial"/>
          <w:color w:val="000000" w:themeColor="text1"/>
          <w:sz w:val="22"/>
        </w:rPr>
        <w:t xml:space="preserve">gas system, Resource management as per </w:t>
      </w:r>
      <w:r w:rsidR="003E6D1B" w:rsidRPr="00464D77">
        <w:rPr>
          <w:rFonts w:ascii="Cambria" w:hAnsi="Cambria" w:cs="Arial"/>
          <w:color w:val="000000" w:themeColor="text1"/>
          <w:sz w:val="22"/>
        </w:rPr>
        <w:t>Oil Mines Regulations</w:t>
      </w:r>
      <w:r w:rsidR="00501758" w:rsidRPr="00464D77">
        <w:rPr>
          <w:rFonts w:ascii="Cambria" w:hAnsi="Cambria" w:cs="Arial"/>
          <w:color w:val="000000" w:themeColor="text1"/>
          <w:sz w:val="22"/>
        </w:rPr>
        <w:t xml:space="preserve"> </w:t>
      </w:r>
    </w:p>
    <w:p w14:paraId="206A8FBF" w14:textId="77777777" w:rsidR="001765C3" w:rsidRPr="00464D77" w:rsidRDefault="001765C3" w:rsidP="002E061C">
      <w:pPr>
        <w:pStyle w:val="ListParagraph"/>
        <w:numPr>
          <w:ilvl w:val="0"/>
          <w:numId w:val="38"/>
        </w:numPr>
        <w:jc w:val="both"/>
        <w:rPr>
          <w:rFonts w:ascii="Cambria" w:hAnsi="Cambria" w:cs="Arial"/>
          <w:color w:val="000000" w:themeColor="text1"/>
          <w:sz w:val="22"/>
        </w:rPr>
      </w:pPr>
      <w:r w:rsidRPr="00464D77">
        <w:rPr>
          <w:rFonts w:ascii="Cambria" w:hAnsi="Cambria" w:cs="Arial"/>
          <w:color w:val="000000" w:themeColor="text1"/>
          <w:sz w:val="22"/>
        </w:rPr>
        <w:lastRenderedPageBreak/>
        <w:t>Company's financial performance documents (Audited Balance sheets and Profit and Loss statements, Auditors Report and Notes to Accounts etc.) for last 2 (two) years. Latest financial state</w:t>
      </w:r>
      <w:r w:rsidR="002E061C" w:rsidRPr="00464D77">
        <w:rPr>
          <w:rFonts w:ascii="Cambria" w:hAnsi="Cambria" w:cs="Arial"/>
          <w:color w:val="000000" w:themeColor="text1"/>
          <w:sz w:val="22"/>
        </w:rPr>
        <w:t>ment should not be older than 12</w:t>
      </w:r>
      <w:r w:rsidRPr="00464D77">
        <w:rPr>
          <w:rFonts w:ascii="Cambria" w:hAnsi="Cambria" w:cs="Arial"/>
          <w:color w:val="000000" w:themeColor="text1"/>
          <w:sz w:val="22"/>
        </w:rPr>
        <w:t xml:space="preserve"> months on the date of submission of response to Expression of interest</w:t>
      </w:r>
      <w:r w:rsidR="008355F2" w:rsidRPr="00464D77">
        <w:rPr>
          <w:rFonts w:ascii="Cambria" w:hAnsi="Cambria" w:cs="Arial"/>
          <w:color w:val="000000" w:themeColor="text1"/>
          <w:sz w:val="22"/>
        </w:rPr>
        <w:t>.</w:t>
      </w:r>
    </w:p>
    <w:p w14:paraId="331958AC" w14:textId="77777777" w:rsidR="000B044A" w:rsidRPr="00464D77" w:rsidRDefault="000B044A" w:rsidP="000B044A">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Also Note –</w:t>
      </w:r>
    </w:p>
    <w:p w14:paraId="6E6B807E" w14:textId="77777777" w:rsidR="000B044A" w:rsidRPr="00464D77" w:rsidRDefault="000B044A" w:rsidP="000B044A">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2D2D62F4" w14:textId="77777777" w:rsidR="000B044A" w:rsidRPr="00464D77" w:rsidRDefault="000B044A" w:rsidP="000B044A">
      <w:pPr>
        <w:numPr>
          <w:ilvl w:val="0"/>
          <w:numId w:val="27"/>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4139E3D0" w14:textId="77777777" w:rsidR="000B044A" w:rsidRPr="00464D77" w:rsidRDefault="000B044A" w:rsidP="000B044A">
      <w:pPr>
        <w:pStyle w:val="ListParagraph"/>
        <w:tabs>
          <w:tab w:val="left" w:pos="1418"/>
          <w:tab w:val="left" w:pos="1701"/>
          <w:tab w:val="right" w:pos="9185"/>
          <w:tab w:val="right" w:pos="9214"/>
        </w:tabs>
        <w:jc w:val="both"/>
        <w:rPr>
          <w:rFonts w:ascii="Cambria" w:hAnsi="Cambria" w:cs="Arial"/>
          <w:color w:val="000000" w:themeColor="text1"/>
          <w:sz w:val="22"/>
        </w:rPr>
      </w:pPr>
    </w:p>
    <w:p w14:paraId="64E56CBD" w14:textId="77777777" w:rsidR="000B044A" w:rsidRPr="00464D77" w:rsidRDefault="000B044A" w:rsidP="000B044A">
      <w:pPr>
        <w:pStyle w:val="ListParagraph"/>
        <w:numPr>
          <w:ilvl w:val="0"/>
          <w:numId w:val="27"/>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Where the bidding entity is unable to meet the Financial Evaluation Criteria, Parent/Holding Company Audited Financials can be considered, subject to:</w:t>
      </w:r>
    </w:p>
    <w:p w14:paraId="5089881E" w14:textId="77777777" w:rsidR="000B044A" w:rsidRPr="00464D77" w:rsidRDefault="000B044A" w:rsidP="000B044A">
      <w:pPr>
        <w:pStyle w:val="ListParagraph"/>
        <w:numPr>
          <w:ilvl w:val="0"/>
          <w:numId w:val="50"/>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 xml:space="preserve">Submission of Financial guarantee in the form of 10% Bank guarantee of contract value. </w:t>
      </w:r>
    </w:p>
    <w:p w14:paraId="4737D199" w14:textId="77777777" w:rsidR="000B044A" w:rsidRPr="00464D77" w:rsidRDefault="000B044A" w:rsidP="000B044A">
      <w:pPr>
        <w:pStyle w:val="ListParagraph"/>
        <w:numPr>
          <w:ilvl w:val="0"/>
          <w:numId w:val="50"/>
        </w:numPr>
        <w:tabs>
          <w:tab w:val="left" w:pos="1418"/>
          <w:tab w:val="left" w:pos="1701"/>
          <w:tab w:val="right" w:pos="9185"/>
          <w:tab w:val="right" w:pos="9214"/>
        </w:tabs>
        <w:jc w:val="both"/>
        <w:rPr>
          <w:rFonts w:ascii="Cambria" w:hAnsi="Cambria" w:cs="Arial"/>
          <w:color w:val="000000" w:themeColor="text1"/>
          <w:sz w:val="22"/>
        </w:rPr>
      </w:pPr>
      <w:r w:rsidRPr="00464D77">
        <w:rPr>
          <w:rFonts w:ascii="Cambria" w:hAnsi="Cambria" w:cs="Arial"/>
          <w:color w:val="000000" w:themeColor="text1"/>
          <w:sz w:val="22"/>
        </w:rPr>
        <w:t>Commitment Letter from Parent/Company to provide financial support to the bidding entity.</w:t>
      </w:r>
    </w:p>
    <w:p w14:paraId="4370A73C" w14:textId="77777777" w:rsidR="00E05C87" w:rsidRPr="00464D77" w:rsidRDefault="00E05C87" w:rsidP="000B044A">
      <w:pPr>
        <w:numPr>
          <w:ilvl w:val="0"/>
          <w:numId w:val="27"/>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 xml:space="preserve">In case of consortium, Memorandum of Understanding (MOU) executed by the consortium members needs to be submitted. The MOU shall indicate </w:t>
      </w:r>
      <w:r w:rsidR="008344EE" w:rsidRPr="00464D77">
        <w:rPr>
          <w:rFonts w:ascii="Cambria" w:eastAsiaTheme="minorHAnsi" w:hAnsi="Cambria" w:cs="Arial"/>
          <w:color w:val="000000" w:themeColor="text1"/>
          <w:szCs w:val="22"/>
          <w:lang w:val="en-IN"/>
        </w:rPr>
        <w:t>the scope of work to be performed by the respective consortium members expressed in percentage</w:t>
      </w:r>
      <w:r w:rsidRPr="00464D77">
        <w:rPr>
          <w:rFonts w:ascii="Cambria" w:eastAsiaTheme="minorHAnsi" w:hAnsi="Cambria" w:cs="Arial"/>
          <w:color w:val="000000" w:themeColor="text1"/>
          <w:szCs w:val="22"/>
          <w:lang w:val="en-IN"/>
        </w:rPr>
        <w:t xml:space="preserve"> </w:t>
      </w:r>
      <w:r w:rsidR="008344EE" w:rsidRPr="00464D77">
        <w:rPr>
          <w:rFonts w:ascii="Cambria" w:eastAsiaTheme="minorHAnsi" w:hAnsi="Cambria" w:cs="Arial"/>
          <w:color w:val="000000" w:themeColor="text1"/>
          <w:szCs w:val="22"/>
          <w:lang w:val="en-IN"/>
        </w:rPr>
        <w:t>terms. T</w:t>
      </w:r>
      <w:r w:rsidRPr="00464D77">
        <w:rPr>
          <w:rFonts w:ascii="Cambria" w:eastAsiaTheme="minorHAnsi" w:hAnsi="Cambria" w:cs="Arial"/>
          <w:color w:val="000000" w:themeColor="text1"/>
          <w:szCs w:val="22"/>
          <w:lang w:val="en-IN"/>
        </w:rPr>
        <w:t xml:space="preserve">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 </w:t>
      </w:r>
    </w:p>
    <w:p w14:paraId="53CC7BAB" w14:textId="77777777" w:rsidR="00E05C87" w:rsidRPr="00464D77" w:rsidRDefault="00E05C87" w:rsidP="005A2537">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66B124E9" w14:textId="77777777" w:rsidR="000B044A" w:rsidRPr="00464D77" w:rsidRDefault="000B044A" w:rsidP="000B044A">
      <w:pPr>
        <w:numPr>
          <w:ilvl w:val="0"/>
          <w:numId w:val="27"/>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 xml:space="preserve">Evaluation will be done only </w:t>
      </w:r>
      <w:proofErr w:type="gramStart"/>
      <w:r w:rsidRPr="00464D77">
        <w:rPr>
          <w:rFonts w:ascii="Cambria" w:eastAsiaTheme="minorHAnsi" w:hAnsi="Cambria" w:cs="Arial"/>
          <w:color w:val="000000" w:themeColor="text1"/>
          <w:szCs w:val="22"/>
          <w:lang w:val="en-IN"/>
        </w:rPr>
        <w:t>on the basis of</w:t>
      </w:r>
      <w:proofErr w:type="gramEnd"/>
      <w:r w:rsidRPr="00464D77">
        <w:rPr>
          <w:rFonts w:ascii="Cambria" w:eastAsiaTheme="minorHAnsi" w:hAnsi="Cambria" w:cs="Arial"/>
          <w:color w:val="000000" w:themeColor="text1"/>
          <w:szCs w:val="22"/>
          <w:lang w:val="en-IN"/>
        </w:rPr>
        <w:t xml:space="preserve"> the published annual reports / audited financials containing Auditor’s report, Balance sheet, Profit &amp; Loss a/c and Notes to Accounts.</w:t>
      </w:r>
    </w:p>
    <w:p w14:paraId="34E1FE06" w14:textId="77777777" w:rsidR="000B044A" w:rsidRPr="00464D77" w:rsidRDefault="000B044A" w:rsidP="000B044A">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5CDAFDED" w14:textId="77777777" w:rsidR="000B044A" w:rsidRPr="00464D77" w:rsidRDefault="000B044A" w:rsidP="000B044A">
      <w:pPr>
        <w:numPr>
          <w:ilvl w:val="0"/>
          <w:numId w:val="27"/>
        </w:numPr>
        <w:tabs>
          <w:tab w:val="left" w:pos="1418"/>
          <w:tab w:val="left" w:pos="1701"/>
          <w:tab w:val="right" w:pos="9185"/>
          <w:tab w:val="right" w:pos="9214"/>
        </w:tabs>
        <w:ind w:hanging="18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584C4D74" w14:textId="77777777" w:rsidR="000B044A" w:rsidRPr="00464D77" w:rsidRDefault="000B044A" w:rsidP="000B044A">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p>
    <w:p w14:paraId="02444B9D" w14:textId="77777777" w:rsidR="000B044A" w:rsidRPr="00464D77" w:rsidRDefault="000B044A" w:rsidP="000B044A">
      <w:pPr>
        <w:tabs>
          <w:tab w:val="left" w:pos="1418"/>
          <w:tab w:val="left" w:pos="1701"/>
          <w:tab w:val="right" w:pos="9185"/>
          <w:tab w:val="right" w:pos="9214"/>
        </w:tabs>
        <w:ind w:left="72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All qualifications and exceptions brought out in Auditor’s report and Notes to Accounts would be factored in while undertaking financial evaluation</w:t>
      </w:r>
    </w:p>
    <w:p w14:paraId="11156BCD" w14:textId="77777777" w:rsidR="000348EE" w:rsidRPr="00464D77" w:rsidRDefault="000348EE" w:rsidP="00AE689C">
      <w:pPr>
        <w:autoSpaceDE w:val="0"/>
        <w:autoSpaceDN w:val="0"/>
        <w:adjustRightInd w:val="0"/>
        <w:jc w:val="both"/>
        <w:rPr>
          <w:rFonts w:ascii="Cambria" w:eastAsiaTheme="minorHAnsi" w:hAnsi="Cambria" w:cs="Arial"/>
          <w:color w:val="000000" w:themeColor="text1"/>
          <w:szCs w:val="22"/>
          <w:lang w:val="en-IN"/>
        </w:rPr>
      </w:pPr>
    </w:p>
    <w:p w14:paraId="7DD55FED" w14:textId="42122AA3" w:rsidR="009259D1" w:rsidRPr="00464D77" w:rsidRDefault="000348EE" w:rsidP="000043D3">
      <w:pPr>
        <w:ind w:left="360"/>
        <w:jc w:val="both"/>
        <w:rPr>
          <w:rFonts w:ascii="Cambria" w:eastAsiaTheme="minorHAnsi" w:hAnsi="Cambria" w:cs="Arial"/>
          <w:color w:val="000000" w:themeColor="text1"/>
          <w:szCs w:val="22"/>
          <w:lang w:val="en-IN"/>
        </w:rPr>
      </w:pPr>
      <w:r w:rsidRPr="00464D77">
        <w:rPr>
          <w:rFonts w:ascii="Cambria" w:eastAsiaTheme="minorHAnsi" w:hAnsi="Cambria" w:cs="Arial"/>
          <w:color w:val="000000" w:themeColor="text1"/>
          <w:szCs w:val="22"/>
          <w:lang w:val="en-IN"/>
        </w:rPr>
        <w:t>The interested contractors should evince interest to participate in the Expression of Interest by clicking on the “</w:t>
      </w:r>
      <w:hyperlink r:id="rId12" w:history="1">
        <w:r w:rsidRPr="00464D77">
          <w:rPr>
            <w:rStyle w:val="Hyperlink"/>
            <w:rFonts w:ascii="Cambria" w:eastAsiaTheme="minorHAnsi" w:hAnsi="Cambria" w:cs="Arial"/>
            <w:color w:val="000000" w:themeColor="text1"/>
            <w:szCs w:val="22"/>
            <w:lang w:val="en-IN"/>
          </w:rPr>
          <w:t>Evince Interest</w:t>
        </w:r>
      </w:hyperlink>
      <w:r w:rsidR="00B56B32" w:rsidRPr="00464D77">
        <w:rPr>
          <w:rFonts w:ascii="Cambria" w:eastAsiaTheme="minorHAnsi" w:hAnsi="Cambria" w:cs="Arial"/>
          <w:color w:val="000000" w:themeColor="text1"/>
          <w:szCs w:val="22"/>
          <w:lang w:val="en-IN"/>
        </w:rPr>
        <w:t>” link for the corresponding Eo</w:t>
      </w:r>
      <w:r w:rsidRPr="00464D77">
        <w:rPr>
          <w:rFonts w:ascii="Cambria" w:eastAsiaTheme="minorHAnsi" w:hAnsi="Cambria" w:cs="Arial"/>
          <w:color w:val="000000" w:themeColor="text1"/>
          <w:szCs w:val="22"/>
          <w:lang w:val="en-IN"/>
        </w:rPr>
        <w:t>I listing on the Cairn</w:t>
      </w:r>
      <w:r w:rsidR="00A51DF7" w:rsidRPr="00464D77">
        <w:rPr>
          <w:rFonts w:ascii="Cambria" w:eastAsiaTheme="minorHAnsi" w:hAnsi="Cambria" w:cs="Arial"/>
          <w:color w:val="000000" w:themeColor="text1"/>
          <w:szCs w:val="22"/>
          <w:lang w:val="en-IN"/>
        </w:rPr>
        <w:t xml:space="preserve"> Website</w:t>
      </w:r>
      <w:r w:rsidRPr="00464D77">
        <w:rPr>
          <w:rFonts w:ascii="Cambria" w:eastAsiaTheme="minorHAnsi" w:hAnsi="Cambria" w:cs="Arial"/>
          <w:color w:val="000000" w:themeColor="text1"/>
          <w:szCs w:val="22"/>
          <w:lang w:val="en-IN"/>
        </w:rPr>
        <w:t xml:space="preserve"> i.e. </w:t>
      </w:r>
      <w:hyperlink r:id="rId13" w:history="1">
        <w:r w:rsidRPr="00464D77">
          <w:rPr>
            <w:rStyle w:val="Hyperlink"/>
            <w:rFonts w:ascii="Cambria" w:hAnsi="Cambria" w:cs="Arial"/>
            <w:color w:val="000000" w:themeColor="text1"/>
            <w:szCs w:val="22"/>
            <w:lang w:val="en-IN"/>
          </w:rPr>
          <w:t>http://www.cairnindia.com</w:t>
        </w:r>
      </w:hyperlink>
      <w:r w:rsidRPr="00464D77">
        <w:rPr>
          <w:rFonts w:ascii="Cambria" w:eastAsiaTheme="minorHAnsi" w:hAnsi="Cambria" w:cs="Arial"/>
          <w:color w:val="000000" w:themeColor="text1"/>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sidRPr="00464D77">
        <w:rPr>
          <w:rFonts w:ascii="Cambria" w:eastAsiaTheme="minorHAnsi" w:hAnsi="Cambria" w:cs="Arial"/>
          <w:color w:val="000000" w:themeColor="text1"/>
          <w:szCs w:val="22"/>
          <w:lang w:val="en-IN"/>
        </w:rPr>
        <w:t>via Smart Source within Fourteen (14</w:t>
      </w:r>
      <w:r w:rsidR="00B56B32" w:rsidRPr="00464D77">
        <w:rPr>
          <w:rFonts w:ascii="Cambria" w:eastAsiaTheme="minorHAnsi" w:hAnsi="Cambria" w:cs="Arial"/>
          <w:color w:val="000000" w:themeColor="text1"/>
          <w:szCs w:val="22"/>
          <w:lang w:val="en-IN"/>
        </w:rPr>
        <w:t>) days of publication of this Eo</w:t>
      </w:r>
      <w:r w:rsidRPr="00464D77">
        <w:rPr>
          <w:rFonts w:ascii="Cambria" w:eastAsiaTheme="minorHAnsi" w:hAnsi="Cambria" w:cs="Arial"/>
          <w:color w:val="000000" w:themeColor="text1"/>
          <w:szCs w:val="22"/>
          <w:lang w:val="en-IN"/>
        </w:rPr>
        <w:t>I.</w:t>
      </w:r>
    </w:p>
    <w:sectPr w:rsidR="009259D1" w:rsidRPr="00464D77" w:rsidSect="00FE46DD">
      <w:headerReference w:type="even" r:id="rId14"/>
      <w:headerReference w:type="default" r:id="rId15"/>
      <w:footerReference w:type="even" r:id="rId16"/>
      <w:footerReference w:type="default" r:id="rId17"/>
      <w:headerReference w:type="first" r:id="rId18"/>
      <w:footerReference w:type="first" r:id="rId19"/>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804C" w14:textId="77777777" w:rsidR="00BA777F" w:rsidRDefault="00BA777F" w:rsidP="009729E6">
      <w:r>
        <w:separator/>
      </w:r>
    </w:p>
  </w:endnote>
  <w:endnote w:type="continuationSeparator" w:id="0">
    <w:p w14:paraId="40D313CA" w14:textId="77777777" w:rsidR="00BA777F" w:rsidRDefault="00BA777F"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96DB" w14:textId="77777777" w:rsidR="00464D77" w:rsidRDefault="0046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E160"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1F33A0FD" wp14:editId="1AB3CD93">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D5918"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3A0FD" id="_x0000_t202" coordsize="21600,21600" o:spt="202" path="m,l,21600r21600,l21600,xe">
              <v:stroke joinstyle="miter"/>
              <v:path gradientshapeok="t" o:connecttype="rect"/>
            </v:shapetype>
            <v:shape id="MSIPCMf7fa4b06a11c075fbe8280e2"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14:paraId="7BDD5918"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34D3" w14:textId="77777777" w:rsidR="00464D77" w:rsidRDefault="0046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569F" w14:textId="77777777" w:rsidR="00BA777F" w:rsidRDefault="00BA777F" w:rsidP="009729E6">
      <w:r>
        <w:separator/>
      </w:r>
    </w:p>
  </w:footnote>
  <w:footnote w:type="continuationSeparator" w:id="0">
    <w:p w14:paraId="5EF65C69" w14:textId="77777777" w:rsidR="00BA777F" w:rsidRDefault="00BA777F"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FE53" w14:textId="77777777" w:rsidR="00464D77" w:rsidRDefault="0046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03DB" w14:textId="77777777" w:rsidR="00464D77" w:rsidRDefault="0046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166F" w14:textId="77777777" w:rsidR="00464D77" w:rsidRDefault="0046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29"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1" w15:restartNumberingAfterBreak="0">
    <w:nsid w:val="629A08CC"/>
    <w:multiLevelType w:val="hybridMultilevel"/>
    <w:tmpl w:val="6FC69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6"/>
  </w:num>
  <w:num w:numId="2">
    <w:abstractNumId w:val="16"/>
  </w:num>
  <w:num w:numId="3">
    <w:abstractNumId w:val="1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1"/>
  </w:num>
  <w:num w:numId="7">
    <w:abstractNumId w:val="47"/>
  </w:num>
  <w:num w:numId="8">
    <w:abstractNumId w:val="6"/>
  </w:num>
  <w:num w:numId="9">
    <w:abstractNumId w:val="42"/>
  </w:num>
  <w:num w:numId="10">
    <w:abstractNumId w:val="13"/>
  </w:num>
  <w:num w:numId="11">
    <w:abstractNumId w:val="20"/>
  </w:num>
  <w:num w:numId="12">
    <w:abstractNumId w:val="25"/>
  </w:num>
  <w:num w:numId="13">
    <w:abstractNumId w:val="0"/>
  </w:num>
  <w:num w:numId="14">
    <w:abstractNumId w:val="27"/>
  </w:num>
  <w:num w:numId="15">
    <w:abstractNumId w:val="23"/>
  </w:num>
  <w:num w:numId="16">
    <w:abstractNumId w:val="50"/>
  </w:num>
  <w:num w:numId="17">
    <w:abstractNumId w:val="29"/>
  </w:num>
  <w:num w:numId="18">
    <w:abstractNumId w:val="19"/>
  </w:num>
  <w:num w:numId="19">
    <w:abstractNumId w:val="34"/>
  </w:num>
  <w:num w:numId="20">
    <w:abstractNumId w:val="7"/>
  </w:num>
  <w:num w:numId="21">
    <w:abstractNumId w:val="44"/>
  </w:num>
  <w:num w:numId="22">
    <w:abstractNumId w:val="39"/>
  </w:num>
  <w:num w:numId="23">
    <w:abstractNumId w:val="8"/>
  </w:num>
  <w:num w:numId="24">
    <w:abstractNumId w:val="37"/>
  </w:num>
  <w:num w:numId="25">
    <w:abstractNumId w:val="1"/>
  </w:num>
  <w:num w:numId="26">
    <w:abstractNumId w:val="10"/>
  </w:num>
  <w:num w:numId="27">
    <w:abstractNumId w:val="21"/>
  </w:num>
  <w:num w:numId="28">
    <w:abstractNumId w:val="17"/>
  </w:num>
  <w:num w:numId="29">
    <w:abstractNumId w:val="30"/>
  </w:num>
  <w:num w:numId="30">
    <w:abstractNumId w:val="24"/>
  </w:num>
  <w:num w:numId="31">
    <w:abstractNumId w:val="3"/>
  </w:num>
  <w:num w:numId="32">
    <w:abstractNumId w:val="2"/>
  </w:num>
  <w:num w:numId="33">
    <w:abstractNumId w:val="3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9"/>
  </w:num>
  <w:num w:numId="37">
    <w:abstractNumId w:val="48"/>
  </w:num>
  <w:num w:numId="38">
    <w:abstractNumId w:val="15"/>
  </w:num>
  <w:num w:numId="39">
    <w:abstractNumId w:val="18"/>
  </w:num>
  <w:num w:numId="40">
    <w:abstractNumId w:val="38"/>
  </w:num>
  <w:num w:numId="41">
    <w:abstractNumId w:val="45"/>
  </w:num>
  <w:num w:numId="42">
    <w:abstractNumId w:val="5"/>
  </w:num>
  <w:num w:numId="43">
    <w:abstractNumId w:val="4"/>
  </w:num>
  <w:num w:numId="44">
    <w:abstractNumId w:val="12"/>
  </w:num>
  <w:num w:numId="45">
    <w:abstractNumId w:val="32"/>
  </w:num>
  <w:num w:numId="46">
    <w:abstractNumId w:val="43"/>
  </w:num>
  <w:num w:numId="47">
    <w:abstractNumId w:val="9"/>
  </w:num>
  <w:num w:numId="48">
    <w:abstractNumId w:val="35"/>
  </w:num>
  <w:num w:numId="49">
    <w:abstractNumId w:val="36"/>
  </w:num>
  <w:num w:numId="50">
    <w:abstractNumId w:val="26"/>
  </w:num>
  <w:num w:numId="51">
    <w:abstractNumId w:val="14"/>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A0E6A"/>
    <w:rsid w:val="000A6BE1"/>
    <w:rsid w:val="000B044A"/>
    <w:rsid w:val="000B28A2"/>
    <w:rsid w:val="000B4DF5"/>
    <w:rsid w:val="000C04A0"/>
    <w:rsid w:val="000C660E"/>
    <w:rsid w:val="000C6F92"/>
    <w:rsid w:val="000D4A0E"/>
    <w:rsid w:val="000D7C67"/>
    <w:rsid w:val="000F1395"/>
    <w:rsid w:val="000F1611"/>
    <w:rsid w:val="000F239E"/>
    <w:rsid w:val="00111262"/>
    <w:rsid w:val="00117796"/>
    <w:rsid w:val="001218BD"/>
    <w:rsid w:val="001220FD"/>
    <w:rsid w:val="001271B1"/>
    <w:rsid w:val="00127A61"/>
    <w:rsid w:val="00133452"/>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80619"/>
    <w:rsid w:val="00286148"/>
    <w:rsid w:val="002A194A"/>
    <w:rsid w:val="002A29EE"/>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3107"/>
    <w:rsid w:val="00324476"/>
    <w:rsid w:val="00342942"/>
    <w:rsid w:val="003442FF"/>
    <w:rsid w:val="00346C18"/>
    <w:rsid w:val="003512BA"/>
    <w:rsid w:val="00351EF7"/>
    <w:rsid w:val="003566FE"/>
    <w:rsid w:val="00360A9A"/>
    <w:rsid w:val="003713CE"/>
    <w:rsid w:val="00380C93"/>
    <w:rsid w:val="003814DD"/>
    <w:rsid w:val="00382736"/>
    <w:rsid w:val="00382B0E"/>
    <w:rsid w:val="0038503E"/>
    <w:rsid w:val="0039171F"/>
    <w:rsid w:val="00393FD0"/>
    <w:rsid w:val="003966EB"/>
    <w:rsid w:val="003A10B6"/>
    <w:rsid w:val="003A3DCC"/>
    <w:rsid w:val="003B1DCF"/>
    <w:rsid w:val="003B49C4"/>
    <w:rsid w:val="003C0B12"/>
    <w:rsid w:val="003D3610"/>
    <w:rsid w:val="003E0A1E"/>
    <w:rsid w:val="003E6D1B"/>
    <w:rsid w:val="003F10A9"/>
    <w:rsid w:val="003F21B2"/>
    <w:rsid w:val="003F4282"/>
    <w:rsid w:val="00405D83"/>
    <w:rsid w:val="00406FA9"/>
    <w:rsid w:val="00413866"/>
    <w:rsid w:val="00415142"/>
    <w:rsid w:val="00430C34"/>
    <w:rsid w:val="0043679A"/>
    <w:rsid w:val="00437F15"/>
    <w:rsid w:val="00443F21"/>
    <w:rsid w:val="00445FC9"/>
    <w:rsid w:val="00446AFB"/>
    <w:rsid w:val="0045202D"/>
    <w:rsid w:val="004525E8"/>
    <w:rsid w:val="004527A1"/>
    <w:rsid w:val="00453950"/>
    <w:rsid w:val="00464D77"/>
    <w:rsid w:val="00472CBE"/>
    <w:rsid w:val="00473BB5"/>
    <w:rsid w:val="004863D1"/>
    <w:rsid w:val="004954FC"/>
    <w:rsid w:val="004A0241"/>
    <w:rsid w:val="004A18DF"/>
    <w:rsid w:val="004A23DA"/>
    <w:rsid w:val="004A4B28"/>
    <w:rsid w:val="004D24DD"/>
    <w:rsid w:val="004D3A2A"/>
    <w:rsid w:val="004E2543"/>
    <w:rsid w:val="00501758"/>
    <w:rsid w:val="00501A7B"/>
    <w:rsid w:val="00505016"/>
    <w:rsid w:val="005057F0"/>
    <w:rsid w:val="00525A95"/>
    <w:rsid w:val="00527FAC"/>
    <w:rsid w:val="0053525F"/>
    <w:rsid w:val="005408B2"/>
    <w:rsid w:val="00543E89"/>
    <w:rsid w:val="00544B6D"/>
    <w:rsid w:val="005528A5"/>
    <w:rsid w:val="0055374F"/>
    <w:rsid w:val="005541F4"/>
    <w:rsid w:val="005651BE"/>
    <w:rsid w:val="005664DC"/>
    <w:rsid w:val="00571006"/>
    <w:rsid w:val="00576951"/>
    <w:rsid w:val="0058354D"/>
    <w:rsid w:val="00584FFA"/>
    <w:rsid w:val="0059200F"/>
    <w:rsid w:val="005946EB"/>
    <w:rsid w:val="00597564"/>
    <w:rsid w:val="005A2537"/>
    <w:rsid w:val="005A2B28"/>
    <w:rsid w:val="005A4EE1"/>
    <w:rsid w:val="005A70C0"/>
    <w:rsid w:val="005B3F07"/>
    <w:rsid w:val="005B5162"/>
    <w:rsid w:val="005C28B0"/>
    <w:rsid w:val="005C577A"/>
    <w:rsid w:val="005C6C53"/>
    <w:rsid w:val="005C76B6"/>
    <w:rsid w:val="005D1BAC"/>
    <w:rsid w:val="005D5EA7"/>
    <w:rsid w:val="005E02D8"/>
    <w:rsid w:val="005E507B"/>
    <w:rsid w:val="005E632E"/>
    <w:rsid w:val="0060364C"/>
    <w:rsid w:val="006042C7"/>
    <w:rsid w:val="006076B4"/>
    <w:rsid w:val="0062233F"/>
    <w:rsid w:val="00625D3B"/>
    <w:rsid w:val="00630FFA"/>
    <w:rsid w:val="00631662"/>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6F64D3"/>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3AE1"/>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E654D"/>
    <w:rsid w:val="007F2195"/>
    <w:rsid w:val="007F5BE3"/>
    <w:rsid w:val="007F6B7A"/>
    <w:rsid w:val="007F7FB4"/>
    <w:rsid w:val="0080572B"/>
    <w:rsid w:val="00813CCC"/>
    <w:rsid w:val="008153A5"/>
    <w:rsid w:val="00822A0E"/>
    <w:rsid w:val="008262C6"/>
    <w:rsid w:val="00830258"/>
    <w:rsid w:val="008309A5"/>
    <w:rsid w:val="00830F59"/>
    <w:rsid w:val="008344E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97E35"/>
    <w:rsid w:val="008A57A3"/>
    <w:rsid w:val="008A7437"/>
    <w:rsid w:val="008B1479"/>
    <w:rsid w:val="008B3AE4"/>
    <w:rsid w:val="008B4998"/>
    <w:rsid w:val="008C53EE"/>
    <w:rsid w:val="008D07EA"/>
    <w:rsid w:val="008D234A"/>
    <w:rsid w:val="008D7BE4"/>
    <w:rsid w:val="008E16CD"/>
    <w:rsid w:val="008F3EBC"/>
    <w:rsid w:val="008F67F2"/>
    <w:rsid w:val="009048D6"/>
    <w:rsid w:val="009075E1"/>
    <w:rsid w:val="0091022D"/>
    <w:rsid w:val="00914095"/>
    <w:rsid w:val="009218C8"/>
    <w:rsid w:val="00921BB7"/>
    <w:rsid w:val="00924141"/>
    <w:rsid w:val="00924EA6"/>
    <w:rsid w:val="009259D1"/>
    <w:rsid w:val="00926E3E"/>
    <w:rsid w:val="00933519"/>
    <w:rsid w:val="00933DBB"/>
    <w:rsid w:val="00935063"/>
    <w:rsid w:val="009414C4"/>
    <w:rsid w:val="0095431A"/>
    <w:rsid w:val="009647B2"/>
    <w:rsid w:val="0096661D"/>
    <w:rsid w:val="00971E02"/>
    <w:rsid w:val="009729E6"/>
    <w:rsid w:val="00973C7B"/>
    <w:rsid w:val="00981168"/>
    <w:rsid w:val="009817B0"/>
    <w:rsid w:val="0098481D"/>
    <w:rsid w:val="0099126E"/>
    <w:rsid w:val="00993065"/>
    <w:rsid w:val="00995EB1"/>
    <w:rsid w:val="0099700F"/>
    <w:rsid w:val="009A1EB0"/>
    <w:rsid w:val="009A2738"/>
    <w:rsid w:val="009A4FB4"/>
    <w:rsid w:val="009A6796"/>
    <w:rsid w:val="009B3CA0"/>
    <w:rsid w:val="009C70F1"/>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0FFD"/>
    <w:rsid w:val="00A712AE"/>
    <w:rsid w:val="00A72C5F"/>
    <w:rsid w:val="00A75968"/>
    <w:rsid w:val="00A7726B"/>
    <w:rsid w:val="00A867A7"/>
    <w:rsid w:val="00A86C93"/>
    <w:rsid w:val="00AA34D4"/>
    <w:rsid w:val="00AB633F"/>
    <w:rsid w:val="00AC161D"/>
    <w:rsid w:val="00AC1E74"/>
    <w:rsid w:val="00AC4163"/>
    <w:rsid w:val="00AD066E"/>
    <w:rsid w:val="00AD71AC"/>
    <w:rsid w:val="00AE0528"/>
    <w:rsid w:val="00AE155C"/>
    <w:rsid w:val="00AE18C1"/>
    <w:rsid w:val="00AE2466"/>
    <w:rsid w:val="00AE689C"/>
    <w:rsid w:val="00AF50EF"/>
    <w:rsid w:val="00B01394"/>
    <w:rsid w:val="00B12487"/>
    <w:rsid w:val="00B27DD7"/>
    <w:rsid w:val="00B42E97"/>
    <w:rsid w:val="00B46F32"/>
    <w:rsid w:val="00B4775F"/>
    <w:rsid w:val="00B56B32"/>
    <w:rsid w:val="00B61D70"/>
    <w:rsid w:val="00B61F07"/>
    <w:rsid w:val="00B71394"/>
    <w:rsid w:val="00B80C3E"/>
    <w:rsid w:val="00B87FA5"/>
    <w:rsid w:val="00B928EB"/>
    <w:rsid w:val="00B97099"/>
    <w:rsid w:val="00BA6A73"/>
    <w:rsid w:val="00BA777F"/>
    <w:rsid w:val="00BB42C0"/>
    <w:rsid w:val="00BB542B"/>
    <w:rsid w:val="00BB62B2"/>
    <w:rsid w:val="00BD0BFF"/>
    <w:rsid w:val="00BD447C"/>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3048A"/>
    <w:rsid w:val="00C36C70"/>
    <w:rsid w:val="00C42833"/>
    <w:rsid w:val="00C46620"/>
    <w:rsid w:val="00C5452B"/>
    <w:rsid w:val="00C54F6F"/>
    <w:rsid w:val="00C60426"/>
    <w:rsid w:val="00C62693"/>
    <w:rsid w:val="00C640D4"/>
    <w:rsid w:val="00C77610"/>
    <w:rsid w:val="00C80209"/>
    <w:rsid w:val="00C82C7A"/>
    <w:rsid w:val="00C83FC5"/>
    <w:rsid w:val="00C85BAC"/>
    <w:rsid w:val="00C87AAD"/>
    <w:rsid w:val="00C919BC"/>
    <w:rsid w:val="00C937FA"/>
    <w:rsid w:val="00CB420E"/>
    <w:rsid w:val="00CB42AB"/>
    <w:rsid w:val="00CC1E89"/>
    <w:rsid w:val="00CD06F3"/>
    <w:rsid w:val="00CD1461"/>
    <w:rsid w:val="00CD71D2"/>
    <w:rsid w:val="00CF3E03"/>
    <w:rsid w:val="00D12D4F"/>
    <w:rsid w:val="00D15B32"/>
    <w:rsid w:val="00D17ACA"/>
    <w:rsid w:val="00D21358"/>
    <w:rsid w:val="00D23DEA"/>
    <w:rsid w:val="00D26DDB"/>
    <w:rsid w:val="00D37C2F"/>
    <w:rsid w:val="00D40900"/>
    <w:rsid w:val="00D41B56"/>
    <w:rsid w:val="00D50D2F"/>
    <w:rsid w:val="00D6443E"/>
    <w:rsid w:val="00D705CD"/>
    <w:rsid w:val="00D73F4A"/>
    <w:rsid w:val="00D75454"/>
    <w:rsid w:val="00D7708B"/>
    <w:rsid w:val="00D817FB"/>
    <w:rsid w:val="00D87E10"/>
    <w:rsid w:val="00DB0EC2"/>
    <w:rsid w:val="00DB36AD"/>
    <w:rsid w:val="00DB4581"/>
    <w:rsid w:val="00DC012B"/>
    <w:rsid w:val="00DC0B66"/>
    <w:rsid w:val="00DD0CB6"/>
    <w:rsid w:val="00DD1895"/>
    <w:rsid w:val="00DD3089"/>
    <w:rsid w:val="00DD5F17"/>
    <w:rsid w:val="00DE1C9A"/>
    <w:rsid w:val="00DE3C60"/>
    <w:rsid w:val="00DE3D0A"/>
    <w:rsid w:val="00DE4DE7"/>
    <w:rsid w:val="00DE722B"/>
    <w:rsid w:val="00DE7886"/>
    <w:rsid w:val="00DE7F44"/>
    <w:rsid w:val="00DF5012"/>
    <w:rsid w:val="00DF57C3"/>
    <w:rsid w:val="00E04D9D"/>
    <w:rsid w:val="00E05C87"/>
    <w:rsid w:val="00E20720"/>
    <w:rsid w:val="00E33990"/>
    <w:rsid w:val="00E36589"/>
    <w:rsid w:val="00E37203"/>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2A5B"/>
    <w:rsid w:val="00EF7D1E"/>
    <w:rsid w:val="00F020EE"/>
    <w:rsid w:val="00F10090"/>
    <w:rsid w:val="00F12165"/>
    <w:rsid w:val="00F2263F"/>
    <w:rsid w:val="00F23277"/>
    <w:rsid w:val="00F33306"/>
    <w:rsid w:val="00F37577"/>
    <w:rsid w:val="00F402AB"/>
    <w:rsid w:val="00F4444C"/>
    <w:rsid w:val="00F45434"/>
    <w:rsid w:val="00F46503"/>
    <w:rsid w:val="00F541DF"/>
    <w:rsid w:val="00F54EB2"/>
    <w:rsid w:val="00F566D0"/>
    <w:rsid w:val="00F72A85"/>
    <w:rsid w:val="00F82562"/>
    <w:rsid w:val="00F845AD"/>
    <w:rsid w:val="00F87EEB"/>
    <w:rsid w:val="00F97803"/>
    <w:rsid w:val="00FA4F29"/>
    <w:rsid w:val="00FB1D60"/>
    <w:rsid w:val="00FB409C"/>
    <w:rsid w:val="00FB4BC9"/>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CD8C2"/>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20379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rtDate xmlns="6b02143d-c076-4788-b315-b1d4ff2ff2ad">2020-04-30T18:30:00+00:00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2020-06-04T18:30:00+00:00</EndDate>
    <EvinceInterestURL xmlns="78439af1-28f1-4ee5-8d5a-af7253c94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07A28-BEB8-44E1-8AD6-3C6D10A839A4}"/>
</file>

<file path=customXml/itemProps2.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customXml/itemProps3.xml><?xml version="1.0" encoding="utf-8"?>
<ds:datastoreItem xmlns:ds="http://schemas.openxmlformats.org/officeDocument/2006/customXml" ds:itemID="{328CF191-DAD0-4E5E-BC33-9ED42E78D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EXPRESSION OF INTEREST (EoI) FOR OPERATION AND MAINTENANCE SERVICES OF CAPTIVE POWER PLANT AT BARMER, RAJASTHAN, INDIA</vt:lpstr>
    </vt:vector>
  </TitlesOfParts>
  <Company>Cairn India</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COMPETETIVE BIDDING (ICB) BASIS FOR PROVISION OF INTEGRATED WELL AND RESERVOIR MANAGEMENT SERVICES FOR OFFSHORE BLOCKS - RAVVA &amp; CB-OS/2</dc:title>
  <dc:creator>gbansi</dc:creator>
  <cp:lastModifiedBy>Shanthi Singh</cp:lastModifiedBy>
  <cp:revision>6</cp:revision>
  <cp:lastPrinted>2019-12-13T03:10:00Z</cp:lastPrinted>
  <dcterms:created xsi:type="dcterms:W3CDTF">2020-05-04T07:19:00Z</dcterms:created>
  <dcterms:modified xsi:type="dcterms:W3CDTF">2020-05-05T16:01:00Z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